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73" w:rsidRPr="00BC5261" w:rsidRDefault="00F046BE">
      <w:pPr>
        <w:rPr>
          <w:rFonts w:cstheme="minorHAnsi"/>
          <w:b/>
          <w:sz w:val="20"/>
          <w:szCs w:val="20"/>
        </w:rPr>
      </w:pPr>
      <w:r w:rsidRPr="00BC5261">
        <w:rPr>
          <w:rFonts w:cstheme="minorHAnsi"/>
          <w:b/>
          <w:sz w:val="20"/>
          <w:szCs w:val="20"/>
        </w:rPr>
        <w:t xml:space="preserve">All India Association of Industries </w:t>
      </w:r>
    </w:p>
    <w:p w:rsidR="00E8678F" w:rsidRPr="00BC5261" w:rsidRDefault="00E8678F" w:rsidP="00384FCA">
      <w:pPr>
        <w:spacing w:line="360" w:lineRule="auto"/>
        <w:jc w:val="center"/>
        <w:rPr>
          <w:rFonts w:cstheme="minorHAnsi"/>
          <w:b/>
          <w:color w:val="000000"/>
          <w:sz w:val="20"/>
          <w:szCs w:val="20"/>
          <w:shd w:val="clear" w:color="auto" w:fill="FFFFFF"/>
        </w:rPr>
      </w:pPr>
      <w:r w:rsidRPr="00BC5261">
        <w:rPr>
          <w:rFonts w:cstheme="minorHAnsi"/>
          <w:b/>
          <w:color w:val="000000"/>
          <w:sz w:val="20"/>
          <w:szCs w:val="20"/>
          <w:shd w:val="clear" w:color="auto" w:fill="FFFFFF"/>
        </w:rPr>
        <w:t>U</w:t>
      </w:r>
      <w:r w:rsidR="00384FCA">
        <w:rPr>
          <w:rFonts w:cstheme="minorHAnsi"/>
          <w:b/>
          <w:color w:val="000000"/>
          <w:sz w:val="20"/>
          <w:szCs w:val="20"/>
          <w:shd w:val="clear" w:color="auto" w:fill="FFFFFF"/>
        </w:rPr>
        <w:t xml:space="preserve">nfair </w:t>
      </w:r>
      <w:r w:rsidRPr="00BC5261">
        <w:rPr>
          <w:rFonts w:cstheme="minorHAnsi"/>
          <w:b/>
          <w:color w:val="000000"/>
          <w:sz w:val="20"/>
          <w:szCs w:val="20"/>
          <w:shd w:val="clear" w:color="auto" w:fill="FFFFFF"/>
        </w:rPr>
        <w:t>C</w:t>
      </w:r>
      <w:r w:rsidR="00384FCA">
        <w:rPr>
          <w:rFonts w:cstheme="minorHAnsi"/>
          <w:b/>
          <w:color w:val="000000"/>
          <w:sz w:val="20"/>
          <w:szCs w:val="20"/>
          <w:shd w:val="clear" w:color="auto" w:fill="FFFFFF"/>
        </w:rPr>
        <w:t xml:space="preserve">ompetition </w:t>
      </w:r>
      <w:r w:rsidRPr="00BC5261">
        <w:rPr>
          <w:rFonts w:cstheme="minorHAnsi"/>
          <w:b/>
          <w:color w:val="000000"/>
          <w:sz w:val="20"/>
          <w:szCs w:val="20"/>
          <w:shd w:val="clear" w:color="auto" w:fill="FFFFFF"/>
        </w:rPr>
        <w:t>A</w:t>
      </w:r>
      <w:r w:rsidR="00384FCA">
        <w:rPr>
          <w:rFonts w:cstheme="minorHAnsi"/>
          <w:b/>
          <w:color w:val="000000"/>
          <w:sz w:val="20"/>
          <w:szCs w:val="20"/>
          <w:shd w:val="clear" w:color="auto" w:fill="FFFFFF"/>
        </w:rPr>
        <w:t>ct to protect rights of genuine IT users in Manufacturing MSMEs</w:t>
      </w:r>
    </w:p>
    <w:p w:rsidR="00EC2A97" w:rsidRPr="00BC5261" w:rsidRDefault="005C0B30" w:rsidP="00EC2A97">
      <w:pPr>
        <w:spacing w:line="360" w:lineRule="auto"/>
        <w:jc w:val="both"/>
        <w:rPr>
          <w:rFonts w:cstheme="minorHAnsi"/>
          <w:color w:val="000000"/>
          <w:sz w:val="20"/>
          <w:szCs w:val="20"/>
          <w:shd w:val="clear" w:color="auto" w:fill="FFFFFF"/>
        </w:rPr>
      </w:pPr>
      <w:r w:rsidRPr="00BC5261">
        <w:rPr>
          <w:rFonts w:cstheme="minorHAnsi"/>
          <w:color w:val="000000"/>
          <w:sz w:val="20"/>
          <w:szCs w:val="20"/>
          <w:shd w:val="clear" w:color="auto" w:fill="FFFFFF"/>
        </w:rPr>
        <w:t xml:space="preserve">Indian economy on a large scale depends on export to </w:t>
      </w:r>
      <w:r w:rsidR="007648B6">
        <w:rPr>
          <w:rFonts w:cstheme="minorHAnsi"/>
          <w:color w:val="000000"/>
          <w:sz w:val="20"/>
          <w:szCs w:val="20"/>
          <w:shd w:val="clear" w:color="auto" w:fill="FFFFFF"/>
        </w:rPr>
        <w:t>and import from other countries. P</w:t>
      </w:r>
      <w:r w:rsidRPr="00BC5261">
        <w:rPr>
          <w:rFonts w:cstheme="minorHAnsi"/>
          <w:color w:val="000000"/>
          <w:sz w:val="20"/>
          <w:szCs w:val="20"/>
          <w:shd w:val="clear" w:color="auto" w:fill="FFFFFF"/>
        </w:rPr>
        <w:t xml:space="preserve">ost liberalization, there has been a significant increase in India’s exports. Some major trading partners of India are European Union, China USA and UAE. USA is one of the biggest importers of Indian goods and services. It imported $40.5 billion worth of Indian goods in 2012. The major items imported by USA </w:t>
      </w:r>
      <w:r w:rsidR="007648B6">
        <w:rPr>
          <w:rFonts w:cstheme="minorHAnsi"/>
          <w:color w:val="000000"/>
          <w:sz w:val="20"/>
          <w:szCs w:val="20"/>
          <w:shd w:val="clear" w:color="auto" w:fill="FFFFFF"/>
        </w:rPr>
        <w:t xml:space="preserve">from India </w:t>
      </w:r>
      <w:r w:rsidRPr="00BC5261">
        <w:rPr>
          <w:rFonts w:cstheme="minorHAnsi"/>
          <w:color w:val="000000"/>
          <w:sz w:val="20"/>
          <w:szCs w:val="20"/>
          <w:shd w:val="clear" w:color="auto" w:fill="FFFFFF"/>
        </w:rPr>
        <w:t>are IT services, textiles, gems and jewellery, chemical, iron and steel product, coffee, tea etc</w:t>
      </w:r>
      <w:r w:rsidR="007648B6">
        <w:rPr>
          <w:rFonts w:cstheme="minorHAnsi"/>
          <w:color w:val="000000"/>
          <w:sz w:val="20"/>
          <w:szCs w:val="20"/>
          <w:shd w:val="clear" w:color="auto" w:fill="FFFFFF"/>
        </w:rPr>
        <w:t>.</w:t>
      </w:r>
      <w:r w:rsidRPr="00BC5261">
        <w:rPr>
          <w:rFonts w:cstheme="minorHAnsi"/>
          <w:color w:val="000000"/>
          <w:sz w:val="20"/>
          <w:szCs w:val="20"/>
          <w:shd w:val="clear" w:color="auto" w:fill="FFFFFF"/>
        </w:rPr>
        <w:t xml:space="preserve"> </w:t>
      </w:r>
      <w:r w:rsidR="00EC2A97" w:rsidRPr="00BC5261">
        <w:rPr>
          <w:rFonts w:cstheme="minorHAnsi"/>
          <w:color w:val="000000"/>
          <w:sz w:val="20"/>
          <w:szCs w:val="20"/>
          <w:shd w:val="clear" w:color="auto" w:fill="FFFFFF"/>
        </w:rPr>
        <w:t>Micro Small and Medium Enterprises (MSME) have a significant share in India’s economy. MSMEs account for about 45% of India’s manufacturing output and 40 % exports, and provide employment to about 100 million people.</w:t>
      </w:r>
    </w:p>
    <w:p w:rsidR="004010D5" w:rsidRPr="00BC5261" w:rsidRDefault="00C93551" w:rsidP="00C93551">
      <w:pPr>
        <w:spacing w:line="360" w:lineRule="auto"/>
        <w:jc w:val="both"/>
        <w:rPr>
          <w:rFonts w:cstheme="minorHAnsi"/>
          <w:color w:val="000000"/>
          <w:sz w:val="20"/>
          <w:szCs w:val="20"/>
          <w:shd w:val="clear" w:color="auto" w:fill="FFFFFF"/>
        </w:rPr>
      </w:pPr>
      <w:r w:rsidRPr="00BC5261">
        <w:rPr>
          <w:rFonts w:cstheme="minorHAnsi"/>
          <w:color w:val="000000"/>
          <w:sz w:val="20"/>
          <w:szCs w:val="20"/>
          <w:shd w:val="clear" w:color="auto" w:fill="FFFFFF"/>
        </w:rPr>
        <w:t>Increasing Globalization has given an opportunity for the industries to cross boundaries and trade with the best partners, without border constraints. But this has also increased complexities over the years. To reduce these complexities and maintain standards in business, certain compliance and regulations are being followed by companies worldwide. One such compliance which has been enacted in United States of America, in the recent times is the new Unfair Competition Act (UCA).</w:t>
      </w:r>
      <w:r w:rsidR="00D549CA" w:rsidRPr="00BC5261">
        <w:rPr>
          <w:rFonts w:cstheme="minorHAnsi"/>
          <w:color w:val="000000"/>
          <w:sz w:val="20"/>
          <w:szCs w:val="20"/>
          <w:shd w:val="clear" w:color="auto" w:fill="FFFFFF"/>
        </w:rPr>
        <w:t xml:space="preserve"> </w:t>
      </w:r>
      <w:r w:rsidR="005C0B30" w:rsidRPr="00BC5261">
        <w:rPr>
          <w:rFonts w:cstheme="minorHAnsi"/>
          <w:color w:val="000000"/>
          <w:sz w:val="20"/>
          <w:szCs w:val="20"/>
          <w:shd w:val="clear" w:color="auto" w:fill="FFFFFF"/>
        </w:rPr>
        <w:t xml:space="preserve">UCA has been enacted to protect the right of genuine Information Technology users, against those trying to take financial advantage by unjust means, using stolen and pirated IT. </w:t>
      </w:r>
    </w:p>
    <w:p w:rsidR="004010D5" w:rsidRPr="00BC5261" w:rsidRDefault="00C93551" w:rsidP="004010D5">
      <w:pPr>
        <w:spacing w:line="360" w:lineRule="auto"/>
        <w:jc w:val="both"/>
        <w:rPr>
          <w:rFonts w:cstheme="minorHAnsi"/>
          <w:color w:val="000000"/>
          <w:sz w:val="20"/>
          <w:szCs w:val="20"/>
          <w:shd w:val="clear" w:color="auto" w:fill="FFFFFF"/>
        </w:rPr>
      </w:pPr>
      <w:r w:rsidRPr="00BC5261">
        <w:rPr>
          <w:rFonts w:cstheme="minorHAnsi"/>
          <w:color w:val="000000"/>
          <w:sz w:val="20"/>
          <w:szCs w:val="20"/>
          <w:shd w:val="clear" w:color="auto" w:fill="FFFFFF"/>
        </w:rPr>
        <w:t xml:space="preserve">UCA mandates manufacturer exporters who sell their products to any of the US </w:t>
      </w:r>
      <w:r w:rsidR="00217CAA" w:rsidRPr="00BC5261">
        <w:rPr>
          <w:rFonts w:cstheme="minorHAnsi"/>
          <w:color w:val="000000"/>
          <w:sz w:val="20"/>
          <w:szCs w:val="20"/>
          <w:shd w:val="clear" w:color="auto" w:fill="FFFFFF"/>
        </w:rPr>
        <w:t>states,</w:t>
      </w:r>
      <w:r w:rsidRPr="00BC5261">
        <w:rPr>
          <w:rFonts w:cstheme="minorHAnsi"/>
          <w:color w:val="000000"/>
          <w:sz w:val="20"/>
          <w:szCs w:val="20"/>
          <w:shd w:val="clear" w:color="auto" w:fill="FFFFFF"/>
        </w:rPr>
        <w:t xml:space="preserve"> where UCA is enacted to stop using stolen or misappropriated software (e.g. pirated or unlicensed software). </w:t>
      </w:r>
      <w:r w:rsidRPr="00BC5261">
        <w:rPr>
          <w:rStyle w:val="FootnoteReference"/>
          <w:rFonts w:cstheme="minorHAnsi"/>
          <w:color w:val="000000"/>
          <w:sz w:val="20"/>
          <w:szCs w:val="20"/>
          <w:shd w:val="clear" w:color="auto" w:fill="FFFFFF"/>
        </w:rPr>
        <w:footnoteReference w:id="2"/>
      </w:r>
      <w:r w:rsidR="004010D5" w:rsidRPr="00BC5261">
        <w:rPr>
          <w:rFonts w:cstheme="minorHAnsi"/>
          <w:color w:val="000000"/>
          <w:sz w:val="20"/>
          <w:szCs w:val="20"/>
          <w:shd w:val="clear" w:color="auto" w:fill="FFFFFF"/>
        </w:rPr>
        <w:t xml:space="preserve"> The act has current</w:t>
      </w:r>
      <w:r w:rsidR="007648B6">
        <w:rPr>
          <w:rFonts w:cstheme="minorHAnsi"/>
          <w:color w:val="000000"/>
          <w:sz w:val="20"/>
          <w:szCs w:val="20"/>
          <w:shd w:val="clear" w:color="auto" w:fill="FFFFFF"/>
        </w:rPr>
        <w:t>ly</w:t>
      </w:r>
      <w:r w:rsidR="004010D5" w:rsidRPr="00BC5261">
        <w:rPr>
          <w:rFonts w:cstheme="minorHAnsi"/>
          <w:color w:val="000000"/>
          <w:sz w:val="20"/>
          <w:szCs w:val="20"/>
          <w:shd w:val="clear" w:color="auto" w:fill="FFFFFF"/>
        </w:rPr>
        <w:t xml:space="preserve"> been enacted in Washington and Louisiana. Along with these two states, Attorney- Generals of 36 states and 3 territories in USA have written to the Federal Trade Commission requesting a better enforcement of the existing Federal Trade Commission Act to prevent such unfair competition at the federal level.</w:t>
      </w:r>
    </w:p>
    <w:p w:rsidR="00256EBE" w:rsidRPr="00BC5261" w:rsidRDefault="00AD7CAA" w:rsidP="00256EBE">
      <w:pPr>
        <w:tabs>
          <w:tab w:val="left" w:pos="90"/>
        </w:tabs>
        <w:spacing w:line="360" w:lineRule="auto"/>
        <w:jc w:val="both"/>
        <w:rPr>
          <w:rFonts w:cstheme="minorHAnsi"/>
          <w:sz w:val="20"/>
          <w:szCs w:val="20"/>
        </w:rPr>
      </w:pPr>
      <w:r w:rsidRPr="00BC5261">
        <w:rPr>
          <w:rFonts w:cstheme="minorHAnsi"/>
          <w:sz w:val="20"/>
          <w:szCs w:val="20"/>
        </w:rPr>
        <w:t xml:space="preserve">IT is </w:t>
      </w:r>
      <w:r w:rsidR="00256EBE" w:rsidRPr="00BC5261">
        <w:rPr>
          <w:rFonts w:cstheme="minorHAnsi"/>
          <w:sz w:val="20"/>
          <w:szCs w:val="20"/>
        </w:rPr>
        <w:t>a significant</w:t>
      </w:r>
      <w:r w:rsidRPr="00BC5261">
        <w:rPr>
          <w:rFonts w:cstheme="minorHAnsi"/>
          <w:sz w:val="20"/>
          <w:szCs w:val="20"/>
        </w:rPr>
        <w:t xml:space="preserve"> factor for productivity and efficiency of manufacturing firms.</w:t>
      </w:r>
      <w:r w:rsidR="00256EBE" w:rsidRPr="00BC5261">
        <w:rPr>
          <w:rFonts w:cstheme="minorHAnsi"/>
          <w:sz w:val="20"/>
          <w:szCs w:val="20"/>
        </w:rPr>
        <w:t xml:space="preserve"> </w:t>
      </w:r>
      <w:r w:rsidR="007648B6">
        <w:rPr>
          <w:rFonts w:cstheme="minorHAnsi"/>
          <w:sz w:val="20"/>
          <w:szCs w:val="20"/>
        </w:rPr>
        <w:t xml:space="preserve">IT </w:t>
      </w:r>
      <w:r w:rsidR="00256EBE" w:rsidRPr="00BC5261">
        <w:rPr>
          <w:rFonts w:cstheme="minorHAnsi"/>
          <w:sz w:val="20"/>
          <w:szCs w:val="20"/>
        </w:rPr>
        <w:t xml:space="preserve">has been a major contributor towards the growth and development of Indian MSMEs , hence UCA is very significant for Indian MSMEs. As usage of IT across the globe is increasing, this is also giving rise to unfair competition due to use of illegal </w:t>
      </w:r>
      <w:r w:rsidR="00A848CD" w:rsidRPr="00BC5261">
        <w:rPr>
          <w:rFonts w:cstheme="minorHAnsi"/>
          <w:sz w:val="20"/>
          <w:szCs w:val="20"/>
        </w:rPr>
        <w:t xml:space="preserve">IT in the manufacturing process. UCA </w:t>
      </w:r>
      <w:r w:rsidR="00256EBE" w:rsidRPr="00BC5261">
        <w:rPr>
          <w:rFonts w:cstheme="minorHAnsi"/>
          <w:sz w:val="20"/>
          <w:szCs w:val="20"/>
        </w:rPr>
        <w:t>provide</w:t>
      </w:r>
      <w:r w:rsidR="00A848CD" w:rsidRPr="00BC5261">
        <w:rPr>
          <w:rFonts w:cstheme="minorHAnsi"/>
          <w:sz w:val="20"/>
          <w:szCs w:val="20"/>
        </w:rPr>
        <w:t>s</w:t>
      </w:r>
      <w:r w:rsidR="00256EBE" w:rsidRPr="00BC5261">
        <w:rPr>
          <w:rFonts w:cstheme="minorHAnsi"/>
          <w:sz w:val="20"/>
          <w:szCs w:val="20"/>
        </w:rPr>
        <w:t xml:space="preserve"> a level p</w:t>
      </w:r>
      <w:r w:rsidR="00710791" w:rsidRPr="00BC5261">
        <w:rPr>
          <w:rFonts w:cstheme="minorHAnsi"/>
          <w:sz w:val="20"/>
          <w:szCs w:val="20"/>
        </w:rPr>
        <w:t>lay</w:t>
      </w:r>
      <w:r w:rsidR="00256EBE" w:rsidRPr="00BC5261">
        <w:rPr>
          <w:rFonts w:cstheme="minorHAnsi"/>
          <w:sz w:val="20"/>
          <w:szCs w:val="20"/>
        </w:rPr>
        <w:t>ing fi</w:t>
      </w:r>
      <w:r w:rsidR="00710791" w:rsidRPr="00BC5261">
        <w:rPr>
          <w:rFonts w:cstheme="minorHAnsi"/>
          <w:sz w:val="20"/>
          <w:szCs w:val="20"/>
        </w:rPr>
        <w:t>el</w:t>
      </w:r>
      <w:r w:rsidR="00256EBE" w:rsidRPr="00BC5261">
        <w:rPr>
          <w:rFonts w:cstheme="minorHAnsi"/>
          <w:sz w:val="20"/>
          <w:szCs w:val="20"/>
        </w:rPr>
        <w:t>d for genuine users of software</w:t>
      </w:r>
      <w:r w:rsidR="00A848CD" w:rsidRPr="00BC5261">
        <w:rPr>
          <w:rFonts w:cstheme="minorHAnsi"/>
          <w:sz w:val="20"/>
          <w:szCs w:val="20"/>
        </w:rPr>
        <w:t xml:space="preserve">. </w:t>
      </w:r>
    </w:p>
    <w:p w:rsidR="00C93551" w:rsidRPr="00BC5261" w:rsidRDefault="00E8678F" w:rsidP="00C93551">
      <w:pPr>
        <w:spacing w:line="360" w:lineRule="auto"/>
        <w:jc w:val="both"/>
        <w:rPr>
          <w:rFonts w:cstheme="minorHAnsi"/>
          <w:b/>
          <w:color w:val="000000"/>
          <w:sz w:val="20"/>
          <w:szCs w:val="20"/>
          <w:shd w:val="clear" w:color="auto" w:fill="FFFFFF"/>
        </w:rPr>
      </w:pPr>
      <w:r w:rsidRPr="00BC5261">
        <w:rPr>
          <w:rFonts w:cstheme="minorHAnsi"/>
          <w:b/>
          <w:color w:val="000000"/>
          <w:sz w:val="20"/>
          <w:szCs w:val="20"/>
          <w:shd w:val="clear" w:color="auto" w:fill="FFFFFF"/>
        </w:rPr>
        <w:t>Low IT piracy rate –an advantage for India</w:t>
      </w:r>
    </w:p>
    <w:p w:rsidR="00E8678F" w:rsidRPr="00BC5261" w:rsidRDefault="007A25DE" w:rsidP="00C93551">
      <w:pPr>
        <w:spacing w:line="360" w:lineRule="auto"/>
        <w:jc w:val="both"/>
        <w:rPr>
          <w:rFonts w:cstheme="minorHAnsi"/>
          <w:sz w:val="20"/>
          <w:szCs w:val="20"/>
        </w:rPr>
      </w:pPr>
      <w:r w:rsidRPr="00BC5261">
        <w:rPr>
          <w:rFonts w:cstheme="minorHAnsi"/>
          <w:sz w:val="20"/>
          <w:szCs w:val="20"/>
        </w:rPr>
        <w:t xml:space="preserve">UCA restricts the import of manufactured items that were produced with the stolen or illegal IT to USA. UCA provides the state governments of </w:t>
      </w:r>
      <w:r w:rsidR="004E05B9" w:rsidRPr="00BC5261">
        <w:rPr>
          <w:rFonts w:cstheme="minorHAnsi"/>
          <w:sz w:val="20"/>
          <w:szCs w:val="20"/>
        </w:rPr>
        <w:t>USA, power</w:t>
      </w:r>
      <w:r w:rsidRPr="00BC5261">
        <w:rPr>
          <w:rFonts w:cstheme="minorHAnsi"/>
          <w:sz w:val="20"/>
          <w:szCs w:val="20"/>
        </w:rPr>
        <w:t xml:space="preserve"> to track down firms, if they are found to be trading with any of its suppliers who use illegal or pirated IT, </w:t>
      </w:r>
      <w:r w:rsidR="00ED5C18" w:rsidRPr="00BC5261">
        <w:rPr>
          <w:rFonts w:cstheme="minorHAnsi"/>
          <w:sz w:val="20"/>
          <w:szCs w:val="20"/>
        </w:rPr>
        <w:t>this applies for the entire value chain of the product.</w:t>
      </w:r>
      <w:r w:rsidR="009022E1" w:rsidRPr="00BC5261">
        <w:rPr>
          <w:rFonts w:cstheme="minorHAnsi"/>
          <w:sz w:val="20"/>
          <w:szCs w:val="20"/>
        </w:rPr>
        <w:t xml:space="preserve"> UCA clearly says that the states where UCA has been enacted can take action against those US companies, who are found doing business with companie</w:t>
      </w:r>
      <w:r w:rsidR="00A15A09">
        <w:rPr>
          <w:rFonts w:cstheme="minorHAnsi"/>
          <w:sz w:val="20"/>
          <w:szCs w:val="20"/>
        </w:rPr>
        <w:t>s using pirated software. There</w:t>
      </w:r>
      <w:r w:rsidR="009022E1" w:rsidRPr="00BC5261">
        <w:rPr>
          <w:rFonts w:cstheme="minorHAnsi"/>
          <w:sz w:val="20"/>
          <w:szCs w:val="20"/>
        </w:rPr>
        <w:t xml:space="preserve">for US buyers will obviously look for countries where software piracy is comparatively low. As per </w:t>
      </w:r>
      <w:r w:rsidR="004E05B9" w:rsidRPr="00BC5261">
        <w:rPr>
          <w:rFonts w:cstheme="minorHAnsi"/>
          <w:sz w:val="20"/>
          <w:szCs w:val="20"/>
        </w:rPr>
        <w:t>“Emerging</w:t>
      </w:r>
      <w:r w:rsidR="009022E1" w:rsidRPr="00BC5261">
        <w:rPr>
          <w:rFonts w:cstheme="minorHAnsi"/>
          <w:sz w:val="20"/>
          <w:szCs w:val="20"/>
        </w:rPr>
        <w:t xml:space="preserve"> opportunity for Indian Manufacturing Exports”, a book jointly launched by ASSOCHAM and IIFT, </w:t>
      </w:r>
      <w:r w:rsidR="004E05B9" w:rsidRPr="00BC5261">
        <w:rPr>
          <w:rFonts w:cstheme="minorHAnsi"/>
          <w:sz w:val="20"/>
          <w:szCs w:val="20"/>
        </w:rPr>
        <w:t xml:space="preserve">India has been facing tough competition from countries like China, Canada, Mexico, Japan, Saudi Arabia, Ireland etc., the book further states that the compliance of Indian enterprises to UCA is urgent and necessary to ensure that they do not incur losses when exporting their products to the US market. </w:t>
      </w:r>
    </w:p>
    <w:p w:rsidR="00DC2D0C" w:rsidRPr="00BC5261" w:rsidRDefault="00DC2D0C" w:rsidP="00C93551">
      <w:pPr>
        <w:spacing w:line="360" w:lineRule="auto"/>
        <w:jc w:val="both"/>
        <w:rPr>
          <w:rFonts w:cstheme="minorHAnsi"/>
          <w:sz w:val="20"/>
          <w:szCs w:val="20"/>
        </w:rPr>
      </w:pPr>
      <w:r w:rsidRPr="00BC5261">
        <w:rPr>
          <w:rFonts w:cstheme="minorHAnsi"/>
          <w:noProof/>
          <w:sz w:val="20"/>
          <w:szCs w:val="20"/>
        </w:rPr>
        <w:drawing>
          <wp:anchor distT="0" distB="0" distL="114300" distR="114300" simplePos="0" relativeHeight="251659264" behindDoc="0" locked="0" layoutInCell="1" allowOverlap="1">
            <wp:simplePos x="0" y="0"/>
            <wp:positionH relativeFrom="column">
              <wp:posOffset>19050</wp:posOffset>
            </wp:positionH>
            <wp:positionV relativeFrom="paragraph">
              <wp:posOffset>41910</wp:posOffset>
            </wp:positionV>
            <wp:extent cx="5024755" cy="3333750"/>
            <wp:effectExtent l="19050" t="19050" r="23495" b="19050"/>
            <wp:wrapThrough wrapText="bothSides">
              <wp:wrapPolygon edited="0">
                <wp:start x="-82" y="-123"/>
                <wp:lineTo x="-82" y="21723"/>
                <wp:lineTo x="21701" y="21723"/>
                <wp:lineTo x="21701" y="-123"/>
                <wp:lineTo x="-82" y="-123"/>
              </wp:wrapPolygon>
            </wp:wrapThrough>
            <wp:docPr id="3" name="Picture 1" descr="C:\Users\saraswati\AppData\Local\Microsoft\Windows\Temporary Internet Files\Content.Word\DSC_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wati\AppData\Local\Microsoft\Windows\Temporary Internet Files\Content.Word\DSC_0066.jpg"/>
                    <pic:cNvPicPr>
                      <a:picLocks noChangeAspect="1" noChangeArrowheads="1"/>
                    </pic:cNvPicPr>
                  </pic:nvPicPr>
                  <pic:blipFill>
                    <a:blip r:embed="rId7"/>
                    <a:srcRect/>
                    <a:stretch>
                      <a:fillRect/>
                    </a:stretch>
                  </pic:blipFill>
                  <pic:spPr bwMode="auto">
                    <a:xfrm>
                      <a:off x="0" y="0"/>
                      <a:ext cx="5024755" cy="3333750"/>
                    </a:xfrm>
                    <a:prstGeom prst="rect">
                      <a:avLst/>
                    </a:prstGeom>
                    <a:noFill/>
                    <a:ln w="9525">
                      <a:solidFill>
                        <a:schemeClr val="tx1"/>
                      </a:solidFill>
                      <a:miter lim="800000"/>
                      <a:headEnd/>
                      <a:tailEnd/>
                    </a:ln>
                  </pic:spPr>
                </pic:pic>
              </a:graphicData>
            </a:graphic>
          </wp:anchor>
        </w:drawing>
      </w:r>
    </w:p>
    <w:p w:rsidR="00DC2D0C" w:rsidRPr="00BC5261" w:rsidRDefault="00DC2D0C" w:rsidP="00C93551">
      <w:pPr>
        <w:spacing w:line="360" w:lineRule="auto"/>
        <w:jc w:val="both"/>
        <w:rPr>
          <w:rFonts w:cstheme="minorHAnsi"/>
          <w:sz w:val="20"/>
          <w:szCs w:val="20"/>
        </w:rPr>
      </w:pPr>
    </w:p>
    <w:p w:rsidR="00DC2D0C" w:rsidRPr="00BC5261" w:rsidRDefault="00DC2D0C" w:rsidP="00C93551">
      <w:pPr>
        <w:spacing w:line="360" w:lineRule="auto"/>
        <w:jc w:val="both"/>
        <w:rPr>
          <w:rFonts w:cstheme="minorHAnsi"/>
          <w:sz w:val="20"/>
          <w:szCs w:val="20"/>
        </w:rPr>
      </w:pPr>
    </w:p>
    <w:p w:rsidR="00DC2D0C" w:rsidRPr="00BC5261" w:rsidRDefault="00DC2D0C" w:rsidP="00C93551">
      <w:pPr>
        <w:spacing w:line="360" w:lineRule="auto"/>
        <w:jc w:val="both"/>
        <w:rPr>
          <w:rFonts w:cstheme="minorHAnsi"/>
          <w:sz w:val="20"/>
          <w:szCs w:val="20"/>
        </w:rPr>
      </w:pPr>
    </w:p>
    <w:p w:rsidR="00DC2D0C" w:rsidRPr="00BC5261" w:rsidRDefault="00DC2D0C" w:rsidP="00C93551">
      <w:pPr>
        <w:spacing w:line="360" w:lineRule="auto"/>
        <w:jc w:val="both"/>
        <w:rPr>
          <w:rFonts w:cstheme="minorHAnsi"/>
          <w:sz w:val="20"/>
          <w:szCs w:val="20"/>
        </w:rPr>
      </w:pPr>
    </w:p>
    <w:p w:rsidR="00DC2D0C" w:rsidRPr="00BC5261" w:rsidRDefault="00DC2D0C" w:rsidP="00C93551">
      <w:pPr>
        <w:spacing w:line="360" w:lineRule="auto"/>
        <w:jc w:val="both"/>
        <w:rPr>
          <w:rFonts w:cstheme="minorHAnsi"/>
          <w:sz w:val="20"/>
          <w:szCs w:val="20"/>
        </w:rPr>
      </w:pPr>
    </w:p>
    <w:p w:rsidR="00DC2D0C" w:rsidRPr="00BC5261" w:rsidRDefault="00DC2D0C" w:rsidP="00C93551">
      <w:pPr>
        <w:spacing w:line="360" w:lineRule="auto"/>
        <w:jc w:val="both"/>
        <w:rPr>
          <w:rFonts w:cstheme="minorHAnsi"/>
          <w:sz w:val="20"/>
          <w:szCs w:val="20"/>
        </w:rPr>
      </w:pPr>
    </w:p>
    <w:p w:rsidR="00DC2D0C" w:rsidRPr="00BC5261" w:rsidRDefault="00DC2D0C" w:rsidP="00C93551">
      <w:pPr>
        <w:spacing w:line="360" w:lineRule="auto"/>
        <w:jc w:val="both"/>
        <w:rPr>
          <w:rFonts w:cstheme="minorHAnsi"/>
          <w:sz w:val="20"/>
          <w:szCs w:val="20"/>
        </w:rPr>
      </w:pPr>
    </w:p>
    <w:p w:rsidR="00DC2D0C" w:rsidRPr="00BC5261" w:rsidRDefault="00DC2D0C" w:rsidP="00C93551">
      <w:pPr>
        <w:spacing w:line="360" w:lineRule="auto"/>
        <w:jc w:val="both"/>
        <w:rPr>
          <w:rFonts w:cstheme="minorHAnsi"/>
          <w:sz w:val="20"/>
          <w:szCs w:val="20"/>
        </w:rPr>
      </w:pPr>
    </w:p>
    <w:p w:rsidR="00BC5261" w:rsidRPr="00BC5261" w:rsidRDefault="00BC5261" w:rsidP="00C93551">
      <w:pPr>
        <w:spacing w:line="360" w:lineRule="auto"/>
        <w:jc w:val="both"/>
        <w:rPr>
          <w:rFonts w:cstheme="minorHAnsi"/>
          <w:sz w:val="20"/>
          <w:szCs w:val="20"/>
        </w:rPr>
      </w:pPr>
    </w:p>
    <w:p w:rsidR="00DC2D0C" w:rsidRPr="00BC5261" w:rsidRDefault="00DC2D0C" w:rsidP="00C93551">
      <w:pPr>
        <w:spacing w:line="360" w:lineRule="auto"/>
        <w:jc w:val="both"/>
        <w:rPr>
          <w:rFonts w:cstheme="minorHAnsi"/>
          <w:sz w:val="16"/>
          <w:szCs w:val="16"/>
        </w:rPr>
      </w:pPr>
      <w:r w:rsidRPr="00BC5261">
        <w:rPr>
          <w:rFonts w:cstheme="minorHAnsi"/>
          <w:color w:val="000000"/>
          <w:sz w:val="16"/>
          <w:szCs w:val="16"/>
        </w:rPr>
        <w:t>Dr EMS Natchiappan, Minister of State, Commerce &amp; Industry, speaking on the occasion of Book launch “</w:t>
      </w:r>
      <w:r w:rsidRPr="00BC5261">
        <w:rPr>
          <w:rFonts w:cstheme="minorHAnsi"/>
          <w:sz w:val="16"/>
          <w:szCs w:val="16"/>
        </w:rPr>
        <w:t xml:space="preserve">Emerging opportunity for Indian Manufacturing Exports” event organized by ASSOCHAM and IIFT in New Delhi </w:t>
      </w:r>
    </w:p>
    <w:p w:rsidR="004E05B9" w:rsidRPr="00BC5261" w:rsidRDefault="00073A7A" w:rsidP="00C93551">
      <w:pPr>
        <w:spacing w:line="360" w:lineRule="auto"/>
        <w:jc w:val="both"/>
        <w:rPr>
          <w:rFonts w:cstheme="minorHAnsi"/>
          <w:sz w:val="20"/>
          <w:szCs w:val="20"/>
        </w:rPr>
      </w:pPr>
      <w:r w:rsidRPr="00BC5261">
        <w:rPr>
          <w:rFonts w:cstheme="minorHAnsi"/>
          <w:sz w:val="20"/>
          <w:szCs w:val="20"/>
        </w:rPr>
        <w:t xml:space="preserve">According to </w:t>
      </w:r>
      <w:r w:rsidR="00203205" w:rsidRPr="00BC5261">
        <w:rPr>
          <w:rFonts w:cstheme="minorHAnsi"/>
          <w:sz w:val="20"/>
          <w:szCs w:val="20"/>
        </w:rPr>
        <w:t xml:space="preserve">‘Global Piracy Study’ by </w:t>
      </w:r>
      <w:r w:rsidRPr="00BC5261">
        <w:rPr>
          <w:rFonts w:cstheme="minorHAnsi"/>
          <w:sz w:val="20"/>
          <w:szCs w:val="20"/>
        </w:rPr>
        <w:t xml:space="preserve">Business Software Alliance (BSA), the software piracy rate in </w:t>
      </w:r>
      <w:r w:rsidR="00203205" w:rsidRPr="00BC5261">
        <w:rPr>
          <w:rFonts w:cstheme="minorHAnsi"/>
          <w:sz w:val="20"/>
          <w:szCs w:val="20"/>
        </w:rPr>
        <w:t xml:space="preserve">India </w:t>
      </w:r>
      <w:r w:rsidR="00A15A09">
        <w:rPr>
          <w:rFonts w:cstheme="minorHAnsi"/>
          <w:sz w:val="20"/>
          <w:szCs w:val="20"/>
        </w:rPr>
        <w:t xml:space="preserve">in 2012 </w:t>
      </w:r>
      <w:r w:rsidR="00203205" w:rsidRPr="00BC5261">
        <w:rPr>
          <w:rFonts w:cstheme="minorHAnsi"/>
          <w:sz w:val="20"/>
          <w:szCs w:val="20"/>
        </w:rPr>
        <w:t>was 64 %, which was lower to its competitors like China (79%), Bangladesh (90%),</w:t>
      </w:r>
      <w:r w:rsidR="0075284D" w:rsidRPr="00BC5261">
        <w:rPr>
          <w:rFonts w:cstheme="minorHAnsi"/>
          <w:sz w:val="20"/>
          <w:szCs w:val="20"/>
        </w:rPr>
        <w:t xml:space="preserve"> </w:t>
      </w:r>
      <w:r w:rsidR="00203205" w:rsidRPr="00BC5261">
        <w:rPr>
          <w:rFonts w:cstheme="minorHAnsi"/>
          <w:sz w:val="20"/>
          <w:szCs w:val="20"/>
        </w:rPr>
        <w:t xml:space="preserve">Sri Lanka (86%) etc. As pet the graph below, the software piracy rate in India is lower than a lot of other Asian exporter countries, and the graph also shows a decreasing trend in software piracy in most of the countries. </w:t>
      </w:r>
    </w:p>
    <w:p w:rsidR="00203205" w:rsidRPr="00BC5261" w:rsidRDefault="00203205" w:rsidP="00C93551">
      <w:pPr>
        <w:spacing w:line="360" w:lineRule="auto"/>
        <w:jc w:val="both"/>
        <w:rPr>
          <w:rFonts w:cstheme="minorHAnsi"/>
          <w:color w:val="000000"/>
          <w:sz w:val="20"/>
          <w:szCs w:val="20"/>
          <w:shd w:val="clear" w:color="auto" w:fill="FFFFFF"/>
        </w:rPr>
      </w:pPr>
      <w:r w:rsidRPr="00BC5261">
        <w:rPr>
          <w:rFonts w:cstheme="minorHAnsi"/>
          <w:noProof/>
          <w:color w:val="000000"/>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19685</wp:posOffset>
            </wp:positionV>
            <wp:extent cx="4572000" cy="2743200"/>
            <wp:effectExtent l="19050" t="0" r="19050" b="0"/>
            <wp:wrapThrough wrapText="bothSides">
              <wp:wrapPolygon edited="0">
                <wp:start x="-90" y="0"/>
                <wp:lineTo x="-90" y="21600"/>
                <wp:lineTo x="21690" y="21600"/>
                <wp:lineTo x="21690" y="0"/>
                <wp:lineTo x="-9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93551" w:rsidRPr="00BC5261" w:rsidRDefault="00C93551" w:rsidP="00C93551">
      <w:pPr>
        <w:spacing w:line="360" w:lineRule="auto"/>
        <w:jc w:val="both"/>
        <w:rPr>
          <w:rFonts w:cstheme="minorHAnsi"/>
          <w:color w:val="000000"/>
          <w:sz w:val="20"/>
          <w:szCs w:val="20"/>
          <w:shd w:val="clear" w:color="auto" w:fill="FFFFFF"/>
        </w:rPr>
      </w:pPr>
    </w:p>
    <w:p w:rsidR="00C93551" w:rsidRPr="00BC5261" w:rsidRDefault="00C93551">
      <w:pPr>
        <w:rPr>
          <w:rFonts w:cstheme="minorHAnsi"/>
          <w:sz w:val="20"/>
          <w:szCs w:val="20"/>
        </w:rPr>
      </w:pPr>
    </w:p>
    <w:p w:rsidR="00BE0AF5" w:rsidRPr="00BC5261" w:rsidRDefault="00BE0AF5">
      <w:pPr>
        <w:rPr>
          <w:rFonts w:cstheme="minorHAnsi"/>
          <w:sz w:val="20"/>
          <w:szCs w:val="20"/>
        </w:rPr>
      </w:pPr>
    </w:p>
    <w:p w:rsidR="00BE0AF5" w:rsidRPr="00BC5261" w:rsidRDefault="00BE0AF5">
      <w:pPr>
        <w:rPr>
          <w:rFonts w:cstheme="minorHAnsi"/>
          <w:sz w:val="20"/>
          <w:szCs w:val="20"/>
        </w:rPr>
      </w:pPr>
    </w:p>
    <w:p w:rsidR="00BE0AF5" w:rsidRPr="00BC5261" w:rsidRDefault="00BE0AF5">
      <w:pPr>
        <w:rPr>
          <w:rFonts w:cstheme="minorHAnsi"/>
          <w:sz w:val="20"/>
          <w:szCs w:val="20"/>
        </w:rPr>
      </w:pPr>
    </w:p>
    <w:p w:rsidR="00BE0AF5" w:rsidRPr="00BC5261" w:rsidRDefault="00BE0AF5">
      <w:pPr>
        <w:rPr>
          <w:rFonts w:cstheme="minorHAnsi"/>
          <w:sz w:val="20"/>
          <w:szCs w:val="20"/>
        </w:rPr>
      </w:pPr>
    </w:p>
    <w:p w:rsidR="00BE0AF5" w:rsidRPr="00BC5261" w:rsidRDefault="00BE0AF5">
      <w:pPr>
        <w:rPr>
          <w:rFonts w:cstheme="minorHAnsi"/>
          <w:sz w:val="20"/>
          <w:szCs w:val="20"/>
        </w:rPr>
      </w:pPr>
    </w:p>
    <w:p w:rsidR="00BE0AF5" w:rsidRPr="00BC5261" w:rsidRDefault="00BE0AF5">
      <w:pPr>
        <w:rPr>
          <w:rFonts w:cstheme="minorHAnsi"/>
          <w:sz w:val="20"/>
          <w:szCs w:val="20"/>
        </w:rPr>
      </w:pPr>
    </w:p>
    <w:p w:rsidR="00BE0AF5" w:rsidRPr="00BC5261" w:rsidRDefault="00BE0AF5">
      <w:pPr>
        <w:rPr>
          <w:rFonts w:cstheme="minorHAnsi"/>
          <w:sz w:val="20"/>
          <w:szCs w:val="20"/>
        </w:rPr>
      </w:pPr>
      <w:r w:rsidRPr="00BC5261">
        <w:rPr>
          <w:rFonts w:cstheme="minorHAnsi"/>
          <w:sz w:val="20"/>
          <w:szCs w:val="20"/>
        </w:rPr>
        <w:t xml:space="preserve">Due to lower piracy rate in India, it is the most </w:t>
      </w:r>
      <w:r w:rsidR="007B422E" w:rsidRPr="00BC5261">
        <w:rPr>
          <w:rFonts w:cstheme="minorHAnsi"/>
          <w:sz w:val="20"/>
          <w:szCs w:val="20"/>
        </w:rPr>
        <w:t>favored</w:t>
      </w:r>
      <w:r w:rsidRPr="00BC5261">
        <w:rPr>
          <w:rFonts w:cstheme="minorHAnsi"/>
          <w:sz w:val="20"/>
          <w:szCs w:val="20"/>
        </w:rPr>
        <w:t xml:space="preserve"> substitute for the business lost in other countries, due to piracy. Hence UCA can be seen as an opportunity by the Indian exporters, to grab a significant share in the </w:t>
      </w:r>
      <w:r w:rsidR="007B422E" w:rsidRPr="00BC5261">
        <w:rPr>
          <w:rFonts w:cstheme="minorHAnsi"/>
          <w:sz w:val="20"/>
          <w:szCs w:val="20"/>
        </w:rPr>
        <w:t>US market</w:t>
      </w:r>
      <w:r w:rsidRPr="00BC5261">
        <w:rPr>
          <w:rFonts w:cstheme="minorHAnsi"/>
          <w:sz w:val="20"/>
          <w:szCs w:val="20"/>
        </w:rPr>
        <w:t xml:space="preserve">. </w:t>
      </w:r>
    </w:p>
    <w:p w:rsidR="007B422E" w:rsidRPr="00BC5261" w:rsidRDefault="007B422E">
      <w:pPr>
        <w:rPr>
          <w:rFonts w:cstheme="minorHAnsi"/>
          <w:sz w:val="20"/>
          <w:szCs w:val="20"/>
        </w:rPr>
      </w:pPr>
    </w:p>
    <w:p w:rsidR="007B422E" w:rsidRPr="00BC5261" w:rsidRDefault="007B422E" w:rsidP="007B422E">
      <w:pPr>
        <w:spacing w:line="360" w:lineRule="auto"/>
        <w:jc w:val="both"/>
        <w:rPr>
          <w:rFonts w:cstheme="minorHAnsi"/>
          <w:b/>
          <w:sz w:val="20"/>
          <w:szCs w:val="20"/>
          <w:shd w:val="clear" w:color="auto" w:fill="FFFFFF"/>
        </w:rPr>
      </w:pPr>
      <w:r w:rsidRPr="00BC5261">
        <w:rPr>
          <w:rFonts w:cstheme="minorHAnsi"/>
          <w:b/>
          <w:sz w:val="20"/>
          <w:szCs w:val="20"/>
          <w:shd w:val="clear" w:color="auto" w:fill="FFFFFF"/>
        </w:rPr>
        <w:t>Indian Exporters Should Grab this opportunity</w:t>
      </w:r>
    </w:p>
    <w:p w:rsidR="007B422E" w:rsidRPr="00BC5261" w:rsidRDefault="007B422E" w:rsidP="007B422E">
      <w:pPr>
        <w:spacing w:line="360" w:lineRule="auto"/>
        <w:jc w:val="both"/>
        <w:rPr>
          <w:rFonts w:cstheme="minorHAnsi"/>
          <w:color w:val="000000"/>
          <w:sz w:val="20"/>
          <w:szCs w:val="20"/>
          <w:shd w:val="clear" w:color="auto" w:fill="FFFFFF"/>
        </w:rPr>
      </w:pPr>
      <w:r w:rsidRPr="00BC5261">
        <w:rPr>
          <w:rFonts w:cstheme="minorHAnsi"/>
          <w:color w:val="000000"/>
          <w:sz w:val="20"/>
          <w:szCs w:val="20"/>
          <w:shd w:val="clear" w:color="auto" w:fill="FFFFFF"/>
        </w:rPr>
        <w:t xml:space="preserve">In the context of UCA in USA, India’s manufacturing exporters position seems to be critical, </w:t>
      </w:r>
      <w:r w:rsidR="00A15A09" w:rsidRPr="00BC5261">
        <w:rPr>
          <w:rFonts w:cstheme="minorHAnsi"/>
          <w:color w:val="000000"/>
          <w:sz w:val="20"/>
          <w:szCs w:val="20"/>
          <w:shd w:val="clear" w:color="auto" w:fill="FFFFFF"/>
        </w:rPr>
        <w:t>since they enjoy</w:t>
      </w:r>
      <w:r w:rsidRPr="00BC5261">
        <w:rPr>
          <w:rFonts w:cstheme="minorHAnsi"/>
          <w:color w:val="000000"/>
          <w:sz w:val="20"/>
          <w:szCs w:val="20"/>
          <w:shd w:val="clear" w:color="auto" w:fill="FFFFFF"/>
        </w:rPr>
        <w:t xml:space="preserve"> a fair position in the US import market. </w:t>
      </w:r>
    </w:p>
    <w:p w:rsidR="007B422E" w:rsidRPr="00BC5261" w:rsidRDefault="007B422E" w:rsidP="007B422E">
      <w:pPr>
        <w:spacing w:line="360" w:lineRule="auto"/>
        <w:jc w:val="both"/>
        <w:rPr>
          <w:rFonts w:cstheme="minorHAnsi"/>
          <w:color w:val="000000"/>
          <w:sz w:val="20"/>
          <w:szCs w:val="20"/>
          <w:shd w:val="clear" w:color="auto" w:fill="FFFFFF"/>
        </w:rPr>
      </w:pPr>
      <w:r w:rsidRPr="00BC5261">
        <w:rPr>
          <w:rFonts w:cstheme="minorHAnsi"/>
          <w:color w:val="000000"/>
          <w:sz w:val="20"/>
          <w:szCs w:val="20"/>
          <w:shd w:val="clear" w:color="auto" w:fill="FFFFFF"/>
        </w:rPr>
        <w:t>“US being a key export market for India, it is critical that exporters review the software used in their supply chain to ensure license compliance and abide by the law. Risking loss of trade is simply not an option” says Ms Tamanna Chaturved, consultant Indian Institute of Foreign trade</w:t>
      </w:r>
    </w:p>
    <w:p w:rsidR="007B422E" w:rsidRPr="00BC5261" w:rsidRDefault="007B422E" w:rsidP="007B422E">
      <w:pPr>
        <w:spacing w:line="360" w:lineRule="auto"/>
        <w:jc w:val="both"/>
        <w:rPr>
          <w:rFonts w:cstheme="minorHAnsi"/>
          <w:color w:val="000000"/>
          <w:sz w:val="20"/>
          <w:szCs w:val="20"/>
          <w:shd w:val="clear" w:color="auto" w:fill="FFFFFF"/>
        </w:rPr>
      </w:pPr>
      <w:r w:rsidRPr="00BC5261">
        <w:rPr>
          <w:rFonts w:cstheme="minorHAnsi"/>
          <w:color w:val="000000"/>
          <w:sz w:val="20"/>
          <w:szCs w:val="20"/>
          <w:shd w:val="clear" w:color="auto" w:fill="FFFFFF"/>
        </w:rPr>
        <w:t xml:space="preserve"> We also need to understand that India is in advantageous position as its competent player China, enjoys a much better share in USA than India</w:t>
      </w:r>
      <w:r w:rsidR="00A15A09">
        <w:rPr>
          <w:rFonts w:cstheme="minorHAnsi"/>
          <w:color w:val="000000"/>
          <w:sz w:val="20"/>
          <w:szCs w:val="20"/>
          <w:shd w:val="clear" w:color="auto" w:fill="FFFFFF"/>
        </w:rPr>
        <w:t xml:space="preserve"> but has</w:t>
      </w:r>
      <w:r w:rsidRPr="00BC5261">
        <w:rPr>
          <w:rFonts w:cstheme="minorHAnsi"/>
          <w:color w:val="000000"/>
          <w:sz w:val="20"/>
          <w:szCs w:val="20"/>
          <w:shd w:val="clear" w:color="auto" w:fill="FFFFFF"/>
        </w:rPr>
        <w:t xml:space="preserve"> higher rate of illegal IT usage. So it is right to comment that the faster the Indian exporters switch to legal IT and improvise or increase their IT usage, they can grab a very huge market in USA.  </w:t>
      </w:r>
    </w:p>
    <w:p w:rsidR="007B422E" w:rsidRPr="00BC5261" w:rsidRDefault="007B422E" w:rsidP="007B422E">
      <w:pPr>
        <w:spacing w:line="360" w:lineRule="auto"/>
        <w:jc w:val="both"/>
        <w:rPr>
          <w:rFonts w:cstheme="minorHAnsi"/>
          <w:color w:val="000000"/>
          <w:sz w:val="20"/>
          <w:szCs w:val="20"/>
          <w:shd w:val="clear" w:color="auto" w:fill="FFFFFF"/>
        </w:rPr>
      </w:pPr>
      <w:r w:rsidRPr="00BC5261">
        <w:rPr>
          <w:rFonts w:cstheme="minorHAnsi"/>
          <w:color w:val="000000"/>
          <w:sz w:val="20"/>
          <w:szCs w:val="20"/>
          <w:shd w:val="clear" w:color="auto" w:fill="FFFFFF"/>
        </w:rPr>
        <w:t>Now the question arrives what can Indian companies do? And the simple answer is to go legal! Indian companies should transform to genuine IT users as soon as possible and this can be done by them in a number of ways, right from conducting software asset audits to making themselves more visible by being verafirm certified.</w:t>
      </w:r>
    </w:p>
    <w:p w:rsidR="007B422E" w:rsidRPr="00BC5261" w:rsidRDefault="00B542CA" w:rsidP="007B422E">
      <w:pPr>
        <w:spacing w:line="360" w:lineRule="auto"/>
        <w:jc w:val="both"/>
        <w:rPr>
          <w:rFonts w:cstheme="minorHAnsi"/>
          <w:color w:val="000000"/>
          <w:sz w:val="20"/>
          <w:szCs w:val="20"/>
          <w:shd w:val="clear" w:color="auto" w:fill="FFFFFF"/>
        </w:rPr>
      </w:pPr>
      <w:r>
        <w:rPr>
          <w:rFonts w:cstheme="minorHAnsi"/>
          <w:noProof/>
          <w:color w:val="000000"/>
          <w:sz w:val="20"/>
          <w:szCs w:val="20"/>
        </w:rPr>
        <w:pict>
          <v:shapetype id="_x0000_t202" coordsize="21600,21600" o:spt="202" path="m,l,21600r21600,l21600,xe">
            <v:stroke joinstyle="miter"/>
            <v:path gradientshapeok="t" o:connecttype="rect"/>
          </v:shapetype>
          <v:shape id="_x0000_s1026" type="#_x0000_t202" style="position:absolute;left:0;text-align:left;margin-left:-10.55pt;margin-top:.05pt;width:521.25pt;height:104.45pt;z-index:251661312" fillcolor="#c0504d [3205]" strokecolor="#f2f2f2 [3041]" strokeweight="3pt">
            <v:shadow on="t" type="perspective" color="#622423 [1605]" opacity=".5" offset="1pt" offset2="-1pt"/>
            <v:textbox>
              <w:txbxContent>
                <w:p w:rsidR="007B422E" w:rsidRPr="00A15A09" w:rsidRDefault="00B542CA" w:rsidP="007B422E">
                  <w:hyperlink r:id="rId9" w:history="1">
                    <w:r w:rsidR="007B422E" w:rsidRPr="00A15A09">
                      <w:rPr>
                        <w:rStyle w:val="Hyperlink"/>
                      </w:rPr>
                      <w:t>www.verafirm.com</w:t>
                    </w:r>
                  </w:hyperlink>
                  <w:r w:rsidR="007B422E" w:rsidRPr="00A15A09">
                    <w:t xml:space="preserve"> Verafirm is a worldwide on-line voluntary computer software license compliance program – launched by the BSA . The program is developed in association with software publishers, the program accommodates different sorts of licensing structures</w:t>
                  </w:r>
                  <w:r w:rsidR="00384FCA">
                    <w:t xml:space="preserve"> and </w:t>
                  </w:r>
                  <w:r w:rsidR="00384FCA" w:rsidRPr="00A15A09">
                    <w:t xml:space="preserve">terminology. </w:t>
                  </w:r>
                  <w:r w:rsidR="00384FCA">
                    <w:t>F</w:t>
                  </w:r>
                  <w:r w:rsidR="00A15A09" w:rsidRPr="00A15A09">
                    <w:t xml:space="preserve">irms can </w:t>
                  </w:r>
                  <w:r w:rsidR="00384FCA" w:rsidRPr="00A15A09">
                    <w:t>become Verafirm</w:t>
                  </w:r>
                  <w:r w:rsidR="007B422E" w:rsidRPr="00A15A09">
                    <w:t>-Registered, Verafirm-Verified or Verafirm-Licensed –</w:t>
                  </w:r>
                  <w:r w:rsidR="00A15A09" w:rsidRPr="00A15A09">
                    <w:t xml:space="preserve"> depending on the type of registration</w:t>
                  </w:r>
                  <w:r w:rsidR="00384FCA" w:rsidRPr="00A15A09">
                    <w:t>, each</w:t>
                  </w:r>
                  <w:r w:rsidR="007B422E" w:rsidRPr="00A15A09">
                    <w:t xml:space="preserve"> offering its unique set of positive aspects and benefits. The registration is free. After registration the registrants will acquire a digital “badge” which they can use to market their products.</w:t>
                  </w:r>
                </w:p>
              </w:txbxContent>
            </v:textbox>
          </v:shape>
        </w:pict>
      </w:r>
      <w:r w:rsidR="007B422E" w:rsidRPr="00BC5261">
        <w:rPr>
          <w:rFonts w:cstheme="minorHAnsi"/>
          <w:color w:val="000000"/>
          <w:sz w:val="20"/>
          <w:szCs w:val="20"/>
          <w:shd w:val="clear" w:color="auto" w:fill="FFFFFF"/>
        </w:rPr>
        <w:t>(</w:t>
      </w:r>
    </w:p>
    <w:p w:rsidR="007B422E" w:rsidRPr="00BC5261" w:rsidRDefault="007B422E" w:rsidP="007B422E">
      <w:pPr>
        <w:rPr>
          <w:rFonts w:cstheme="minorHAnsi"/>
          <w:color w:val="000000"/>
          <w:sz w:val="20"/>
          <w:szCs w:val="20"/>
          <w:shd w:val="clear" w:color="auto" w:fill="FFFFFF"/>
        </w:rPr>
      </w:pPr>
    </w:p>
    <w:p w:rsidR="007B422E" w:rsidRPr="00BC5261" w:rsidRDefault="007B422E">
      <w:pPr>
        <w:rPr>
          <w:rFonts w:cstheme="minorHAnsi"/>
          <w:sz w:val="20"/>
          <w:szCs w:val="20"/>
        </w:rPr>
      </w:pPr>
    </w:p>
    <w:p w:rsidR="007B422E" w:rsidRPr="00BC5261" w:rsidRDefault="00B542CA">
      <w:pPr>
        <w:rPr>
          <w:rFonts w:cstheme="minorHAnsi"/>
          <w:sz w:val="20"/>
          <w:szCs w:val="20"/>
        </w:rPr>
      </w:pPr>
      <w:r>
        <w:rPr>
          <w:rFonts w:cstheme="minorHAnsi"/>
          <w:noProof/>
          <w:sz w:val="20"/>
          <w:szCs w:val="20"/>
        </w:rPr>
        <w:pict>
          <v:shape id="_x0000_s1027" type="#_x0000_t202" style="position:absolute;margin-left:271.5pt;margin-top:66.4pt;width:232.5pt;height:79.5pt;z-index:251662336">
            <v:textbox>
              <w:txbxContent>
                <w:p w:rsidR="00384FCA" w:rsidRDefault="00384FCA" w:rsidP="00384FCA">
                  <w:pPr>
                    <w:pStyle w:val="NoSpacing"/>
                  </w:pPr>
                  <w:r>
                    <w:t>Saraswati Rawat</w:t>
                  </w:r>
                  <w:r>
                    <w:tab/>
                  </w:r>
                </w:p>
                <w:p w:rsidR="00384FCA" w:rsidRDefault="00384FCA" w:rsidP="00384FCA">
                  <w:pPr>
                    <w:pStyle w:val="NoSpacing"/>
                  </w:pPr>
                  <w:r>
                    <w:t>Knowledge Management Manager</w:t>
                  </w:r>
                </w:p>
                <w:p w:rsidR="00384FCA" w:rsidRDefault="00384FCA" w:rsidP="00384FCA">
                  <w:pPr>
                    <w:pStyle w:val="NoSpacing"/>
                  </w:pPr>
                  <w:r>
                    <w:t>Apex Cluster Development Services</w:t>
                  </w:r>
                </w:p>
                <w:p w:rsidR="00384FCA" w:rsidRDefault="00384FCA" w:rsidP="00384FCA">
                  <w:pPr>
                    <w:pStyle w:val="NoSpacing"/>
                  </w:pPr>
                  <w:r>
                    <w:t>New Delhi</w:t>
                  </w:r>
                </w:p>
                <w:p w:rsidR="00384FCA" w:rsidRDefault="00B542CA">
                  <w:hyperlink r:id="rId10" w:history="1">
                    <w:r w:rsidR="00384FCA" w:rsidRPr="00A020FB">
                      <w:rPr>
                        <w:rStyle w:val="Hyperlink"/>
                      </w:rPr>
                      <w:t>s.rawat@indianclusters.org</w:t>
                    </w:r>
                  </w:hyperlink>
                </w:p>
                <w:p w:rsidR="00384FCA" w:rsidRDefault="00384FCA"/>
              </w:txbxContent>
            </v:textbox>
          </v:shape>
        </w:pict>
      </w:r>
    </w:p>
    <w:sectPr w:rsidR="007B422E" w:rsidRPr="00BC5261" w:rsidSect="00BE0AF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8AA" w:rsidRDefault="007518AA" w:rsidP="00C93551">
      <w:pPr>
        <w:spacing w:after="0" w:line="240" w:lineRule="auto"/>
      </w:pPr>
      <w:r>
        <w:separator/>
      </w:r>
    </w:p>
  </w:endnote>
  <w:endnote w:type="continuationSeparator" w:id="1">
    <w:p w:rsidR="007518AA" w:rsidRDefault="007518AA" w:rsidP="00C93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8AA" w:rsidRDefault="007518AA" w:rsidP="00C93551">
      <w:pPr>
        <w:spacing w:after="0" w:line="240" w:lineRule="auto"/>
      </w:pPr>
      <w:r>
        <w:separator/>
      </w:r>
    </w:p>
  </w:footnote>
  <w:footnote w:type="continuationSeparator" w:id="1">
    <w:p w:rsidR="007518AA" w:rsidRDefault="007518AA" w:rsidP="00C93551">
      <w:pPr>
        <w:spacing w:after="0" w:line="240" w:lineRule="auto"/>
      </w:pPr>
      <w:r>
        <w:continuationSeparator/>
      </w:r>
    </w:p>
  </w:footnote>
  <w:footnote w:id="2">
    <w:p w:rsidR="00C93551" w:rsidRDefault="00C93551" w:rsidP="00C93551">
      <w:pPr>
        <w:pStyle w:val="FootnoteText"/>
      </w:pPr>
      <w:r>
        <w:rPr>
          <w:rStyle w:val="FootnoteReference"/>
        </w:rPr>
        <w:footnoteRef/>
      </w:r>
      <w:r>
        <w:t xml:space="preserve"> </w:t>
      </w:r>
      <w:hyperlink r:id="rId1" w:history="1">
        <w:r>
          <w:rPr>
            <w:rStyle w:val="Hyperlink"/>
          </w:rPr>
          <w:t>http://www.kpmg.com/IN/en/IssuesAndInsights/ArticlesPublications/Documents/New-UCA-law-Final.pdf</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46BE"/>
    <w:rsid w:val="000117FC"/>
    <w:rsid w:val="00073A7A"/>
    <w:rsid w:val="00203205"/>
    <w:rsid w:val="00217CAA"/>
    <w:rsid w:val="00256EBE"/>
    <w:rsid w:val="002F3276"/>
    <w:rsid w:val="00384FCA"/>
    <w:rsid w:val="003C522B"/>
    <w:rsid w:val="004010D5"/>
    <w:rsid w:val="00446D93"/>
    <w:rsid w:val="004855BE"/>
    <w:rsid w:val="004D6074"/>
    <w:rsid w:val="004E05B9"/>
    <w:rsid w:val="00592783"/>
    <w:rsid w:val="005C0B30"/>
    <w:rsid w:val="00710791"/>
    <w:rsid w:val="007518AA"/>
    <w:rsid w:val="0075284D"/>
    <w:rsid w:val="007648B6"/>
    <w:rsid w:val="007A25DE"/>
    <w:rsid w:val="007B422E"/>
    <w:rsid w:val="008C214B"/>
    <w:rsid w:val="008C229A"/>
    <w:rsid w:val="009022E1"/>
    <w:rsid w:val="00917231"/>
    <w:rsid w:val="00917EA4"/>
    <w:rsid w:val="00933820"/>
    <w:rsid w:val="00A15A09"/>
    <w:rsid w:val="00A30906"/>
    <w:rsid w:val="00A4588E"/>
    <w:rsid w:val="00A848CD"/>
    <w:rsid w:val="00AD7CAA"/>
    <w:rsid w:val="00B542CA"/>
    <w:rsid w:val="00BC0DE6"/>
    <w:rsid w:val="00BC5261"/>
    <w:rsid w:val="00BC6A94"/>
    <w:rsid w:val="00BE0AF5"/>
    <w:rsid w:val="00C93551"/>
    <w:rsid w:val="00D549CA"/>
    <w:rsid w:val="00DC2D0C"/>
    <w:rsid w:val="00DF4FEF"/>
    <w:rsid w:val="00E8678F"/>
    <w:rsid w:val="00EC2A97"/>
    <w:rsid w:val="00ED5C18"/>
    <w:rsid w:val="00EF4DAB"/>
    <w:rsid w:val="00F046BE"/>
    <w:rsid w:val="00F5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51"/>
    <w:rPr>
      <w:color w:val="0000FF"/>
      <w:u w:val="single"/>
    </w:rPr>
  </w:style>
  <w:style w:type="paragraph" w:styleId="FootnoteText">
    <w:name w:val="footnote text"/>
    <w:basedOn w:val="Normal"/>
    <w:link w:val="FootnoteTextChar"/>
    <w:uiPriority w:val="99"/>
    <w:semiHidden/>
    <w:unhideWhenUsed/>
    <w:rsid w:val="00C935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551"/>
    <w:rPr>
      <w:sz w:val="20"/>
      <w:szCs w:val="20"/>
    </w:rPr>
  </w:style>
  <w:style w:type="character" w:styleId="FootnoteReference">
    <w:name w:val="footnote reference"/>
    <w:basedOn w:val="DefaultParagraphFont"/>
    <w:uiPriority w:val="99"/>
    <w:semiHidden/>
    <w:unhideWhenUsed/>
    <w:rsid w:val="00C93551"/>
    <w:rPr>
      <w:vertAlign w:val="superscript"/>
    </w:rPr>
  </w:style>
  <w:style w:type="paragraph" w:styleId="BalloonText">
    <w:name w:val="Balloon Text"/>
    <w:basedOn w:val="Normal"/>
    <w:link w:val="BalloonTextChar"/>
    <w:uiPriority w:val="99"/>
    <w:semiHidden/>
    <w:unhideWhenUsed/>
    <w:rsid w:val="0007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7A"/>
    <w:rPr>
      <w:rFonts w:ascii="Tahoma" w:hAnsi="Tahoma" w:cs="Tahoma"/>
      <w:sz w:val="16"/>
      <w:szCs w:val="16"/>
    </w:rPr>
  </w:style>
  <w:style w:type="paragraph" w:styleId="NoSpacing">
    <w:name w:val="No Spacing"/>
    <w:uiPriority w:val="1"/>
    <w:qFormat/>
    <w:rsid w:val="00384F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rawat@indianclusters.org" TargetMode="External"/><Relationship Id="rId4" Type="http://schemas.openxmlformats.org/officeDocument/2006/relationships/webSettings" Target="webSettings.xml"/><Relationship Id="rId9" Type="http://schemas.openxmlformats.org/officeDocument/2006/relationships/hyperlink" Target="http://www.verafirm.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pmg.com/IN/en/IssuesAndInsights/ArticlesPublications/Documents/New-UCA-law-Final.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swati\Desktop\Articles%20Nov\Global%20Piracy%20r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Software piracy rate across Asian countries</a:t>
            </a:r>
          </a:p>
        </c:rich>
      </c:tx>
    </c:title>
    <c:plotArea>
      <c:layout/>
      <c:lineChart>
        <c:grouping val="standard"/>
        <c:ser>
          <c:idx val="0"/>
          <c:order val="0"/>
          <c:tx>
            <c:strRef>
              <c:f>Sheet2!$B$3</c:f>
              <c:strCache>
                <c:ptCount val="1"/>
                <c:pt idx="0">
                  <c:v>China</c:v>
                </c:pt>
              </c:strCache>
            </c:strRef>
          </c:tx>
          <c:cat>
            <c:numRef>
              <c:f>Sheet2!$A$4:$A$8</c:f>
              <c:numCache>
                <c:formatCode>General</c:formatCode>
                <c:ptCount val="5"/>
                <c:pt idx="0">
                  <c:v>2007</c:v>
                </c:pt>
                <c:pt idx="1">
                  <c:v>2008</c:v>
                </c:pt>
                <c:pt idx="2">
                  <c:v>2009</c:v>
                </c:pt>
                <c:pt idx="3">
                  <c:v>2010</c:v>
                </c:pt>
                <c:pt idx="4">
                  <c:v>2011</c:v>
                </c:pt>
              </c:numCache>
            </c:numRef>
          </c:cat>
          <c:val>
            <c:numRef>
              <c:f>Sheet2!$B$4:$B$8</c:f>
              <c:numCache>
                <c:formatCode>0%</c:formatCode>
                <c:ptCount val="5"/>
                <c:pt idx="0">
                  <c:v>0.82000000000000051</c:v>
                </c:pt>
                <c:pt idx="1">
                  <c:v>0.8</c:v>
                </c:pt>
                <c:pt idx="2">
                  <c:v>0.79</c:v>
                </c:pt>
                <c:pt idx="3">
                  <c:v>0.78</c:v>
                </c:pt>
                <c:pt idx="4">
                  <c:v>0.77000000000000046</c:v>
                </c:pt>
              </c:numCache>
            </c:numRef>
          </c:val>
        </c:ser>
        <c:ser>
          <c:idx val="1"/>
          <c:order val="1"/>
          <c:tx>
            <c:strRef>
              <c:f>Sheet2!$C$3</c:f>
              <c:strCache>
                <c:ptCount val="1"/>
                <c:pt idx="0">
                  <c:v>India</c:v>
                </c:pt>
              </c:strCache>
            </c:strRef>
          </c:tx>
          <c:cat>
            <c:numRef>
              <c:f>Sheet2!$A$4:$A$8</c:f>
              <c:numCache>
                <c:formatCode>General</c:formatCode>
                <c:ptCount val="5"/>
                <c:pt idx="0">
                  <c:v>2007</c:v>
                </c:pt>
                <c:pt idx="1">
                  <c:v>2008</c:v>
                </c:pt>
                <c:pt idx="2">
                  <c:v>2009</c:v>
                </c:pt>
                <c:pt idx="3">
                  <c:v>2010</c:v>
                </c:pt>
                <c:pt idx="4">
                  <c:v>2011</c:v>
                </c:pt>
              </c:numCache>
            </c:numRef>
          </c:cat>
          <c:val>
            <c:numRef>
              <c:f>Sheet2!$C$4:$C$8</c:f>
              <c:numCache>
                <c:formatCode>0%</c:formatCode>
                <c:ptCount val="5"/>
                <c:pt idx="0">
                  <c:v>0.69000000000000061</c:v>
                </c:pt>
                <c:pt idx="1">
                  <c:v>0.68000000000000027</c:v>
                </c:pt>
                <c:pt idx="2">
                  <c:v>0.6500000000000008</c:v>
                </c:pt>
                <c:pt idx="3">
                  <c:v>0.64000000000000068</c:v>
                </c:pt>
                <c:pt idx="4">
                  <c:v>0.63000000000000056</c:v>
                </c:pt>
              </c:numCache>
            </c:numRef>
          </c:val>
        </c:ser>
        <c:ser>
          <c:idx val="2"/>
          <c:order val="2"/>
          <c:tx>
            <c:strRef>
              <c:f>Sheet2!$D$3</c:f>
              <c:strCache>
                <c:ptCount val="1"/>
                <c:pt idx="0">
                  <c:v>Pakistan</c:v>
                </c:pt>
              </c:strCache>
            </c:strRef>
          </c:tx>
          <c:cat>
            <c:numRef>
              <c:f>Sheet2!$A$4:$A$8</c:f>
              <c:numCache>
                <c:formatCode>General</c:formatCode>
                <c:ptCount val="5"/>
                <c:pt idx="0">
                  <c:v>2007</c:v>
                </c:pt>
                <c:pt idx="1">
                  <c:v>2008</c:v>
                </c:pt>
                <c:pt idx="2">
                  <c:v>2009</c:v>
                </c:pt>
                <c:pt idx="3">
                  <c:v>2010</c:v>
                </c:pt>
                <c:pt idx="4">
                  <c:v>2011</c:v>
                </c:pt>
              </c:numCache>
            </c:numRef>
          </c:cat>
          <c:val>
            <c:numRef>
              <c:f>Sheet2!$D$4:$D$8</c:f>
              <c:numCache>
                <c:formatCode>0%</c:formatCode>
                <c:ptCount val="5"/>
                <c:pt idx="0">
                  <c:v>0.84000000000000052</c:v>
                </c:pt>
                <c:pt idx="1">
                  <c:v>0.86000000000000054</c:v>
                </c:pt>
                <c:pt idx="2">
                  <c:v>0.84000000000000052</c:v>
                </c:pt>
                <c:pt idx="3">
                  <c:v>0.84000000000000052</c:v>
                </c:pt>
                <c:pt idx="4">
                  <c:v>0.86000000000000054</c:v>
                </c:pt>
              </c:numCache>
            </c:numRef>
          </c:val>
        </c:ser>
        <c:ser>
          <c:idx val="3"/>
          <c:order val="3"/>
          <c:tx>
            <c:strRef>
              <c:f>Sheet2!$E$3</c:f>
              <c:strCache>
                <c:ptCount val="1"/>
                <c:pt idx="0">
                  <c:v>Indionesia</c:v>
                </c:pt>
              </c:strCache>
            </c:strRef>
          </c:tx>
          <c:cat>
            <c:numRef>
              <c:f>Sheet2!$A$4:$A$8</c:f>
              <c:numCache>
                <c:formatCode>General</c:formatCode>
                <c:ptCount val="5"/>
                <c:pt idx="0">
                  <c:v>2007</c:v>
                </c:pt>
                <c:pt idx="1">
                  <c:v>2008</c:v>
                </c:pt>
                <c:pt idx="2">
                  <c:v>2009</c:v>
                </c:pt>
                <c:pt idx="3">
                  <c:v>2010</c:v>
                </c:pt>
                <c:pt idx="4">
                  <c:v>2011</c:v>
                </c:pt>
              </c:numCache>
            </c:numRef>
          </c:cat>
          <c:val>
            <c:numRef>
              <c:f>Sheet2!$E$4:$E$8</c:f>
              <c:numCache>
                <c:formatCode>0%</c:formatCode>
                <c:ptCount val="5"/>
                <c:pt idx="0">
                  <c:v>0.84000000000000052</c:v>
                </c:pt>
                <c:pt idx="1">
                  <c:v>0.85000000000000053</c:v>
                </c:pt>
                <c:pt idx="2">
                  <c:v>0.86000000000000054</c:v>
                </c:pt>
                <c:pt idx="3">
                  <c:v>0.87000000000000055</c:v>
                </c:pt>
                <c:pt idx="4">
                  <c:v>0.86000000000000054</c:v>
                </c:pt>
              </c:numCache>
            </c:numRef>
          </c:val>
        </c:ser>
        <c:ser>
          <c:idx val="4"/>
          <c:order val="4"/>
          <c:tx>
            <c:strRef>
              <c:f>Sheet2!$F$3</c:f>
              <c:strCache>
                <c:ptCount val="1"/>
                <c:pt idx="0">
                  <c:v>Thailand</c:v>
                </c:pt>
              </c:strCache>
            </c:strRef>
          </c:tx>
          <c:cat>
            <c:numRef>
              <c:f>Sheet2!$A$4:$A$8</c:f>
              <c:numCache>
                <c:formatCode>General</c:formatCode>
                <c:ptCount val="5"/>
                <c:pt idx="0">
                  <c:v>2007</c:v>
                </c:pt>
                <c:pt idx="1">
                  <c:v>2008</c:v>
                </c:pt>
                <c:pt idx="2">
                  <c:v>2009</c:v>
                </c:pt>
                <c:pt idx="3">
                  <c:v>2010</c:v>
                </c:pt>
                <c:pt idx="4">
                  <c:v>2011</c:v>
                </c:pt>
              </c:numCache>
            </c:numRef>
          </c:cat>
          <c:val>
            <c:numRef>
              <c:f>Sheet2!$F$4:$F$8</c:f>
              <c:numCache>
                <c:formatCode>0%</c:formatCode>
                <c:ptCount val="5"/>
                <c:pt idx="0">
                  <c:v>0.78</c:v>
                </c:pt>
                <c:pt idx="1">
                  <c:v>0.76000000000000056</c:v>
                </c:pt>
                <c:pt idx="2">
                  <c:v>0.75000000000000056</c:v>
                </c:pt>
                <c:pt idx="3">
                  <c:v>0.73000000000000054</c:v>
                </c:pt>
                <c:pt idx="4">
                  <c:v>0.72000000000000053</c:v>
                </c:pt>
              </c:numCache>
            </c:numRef>
          </c:val>
        </c:ser>
        <c:ser>
          <c:idx val="5"/>
          <c:order val="5"/>
          <c:tx>
            <c:strRef>
              <c:f>Sheet2!$G$3</c:f>
              <c:strCache>
                <c:ptCount val="1"/>
                <c:pt idx="0">
                  <c:v>sri Lanka</c:v>
                </c:pt>
              </c:strCache>
            </c:strRef>
          </c:tx>
          <c:cat>
            <c:numRef>
              <c:f>Sheet2!$A$4:$A$8</c:f>
              <c:numCache>
                <c:formatCode>General</c:formatCode>
                <c:ptCount val="5"/>
                <c:pt idx="0">
                  <c:v>2007</c:v>
                </c:pt>
                <c:pt idx="1">
                  <c:v>2008</c:v>
                </c:pt>
                <c:pt idx="2">
                  <c:v>2009</c:v>
                </c:pt>
                <c:pt idx="3">
                  <c:v>2010</c:v>
                </c:pt>
                <c:pt idx="4">
                  <c:v>2011</c:v>
                </c:pt>
              </c:numCache>
            </c:numRef>
          </c:cat>
          <c:val>
            <c:numRef>
              <c:f>Sheet2!$G$4:$G$8</c:f>
              <c:numCache>
                <c:formatCode>0%</c:formatCode>
                <c:ptCount val="5"/>
                <c:pt idx="0">
                  <c:v>0.9</c:v>
                </c:pt>
                <c:pt idx="1">
                  <c:v>0.9</c:v>
                </c:pt>
                <c:pt idx="2">
                  <c:v>0.89000000000000012</c:v>
                </c:pt>
                <c:pt idx="3">
                  <c:v>0.86000000000000054</c:v>
                </c:pt>
                <c:pt idx="4">
                  <c:v>0.84000000000000052</c:v>
                </c:pt>
              </c:numCache>
            </c:numRef>
          </c:val>
        </c:ser>
        <c:ser>
          <c:idx val="6"/>
          <c:order val="6"/>
          <c:tx>
            <c:strRef>
              <c:f>Sheet2!$H$3</c:f>
              <c:strCache>
                <c:ptCount val="1"/>
                <c:pt idx="0">
                  <c:v>Vietnam</c:v>
                </c:pt>
              </c:strCache>
            </c:strRef>
          </c:tx>
          <c:cat>
            <c:numRef>
              <c:f>Sheet2!$A$4:$A$8</c:f>
              <c:numCache>
                <c:formatCode>General</c:formatCode>
                <c:ptCount val="5"/>
                <c:pt idx="0">
                  <c:v>2007</c:v>
                </c:pt>
                <c:pt idx="1">
                  <c:v>2008</c:v>
                </c:pt>
                <c:pt idx="2">
                  <c:v>2009</c:v>
                </c:pt>
                <c:pt idx="3">
                  <c:v>2010</c:v>
                </c:pt>
                <c:pt idx="4">
                  <c:v>2011</c:v>
                </c:pt>
              </c:numCache>
            </c:numRef>
          </c:cat>
          <c:val>
            <c:numRef>
              <c:f>Sheet2!$H$4:$H$8</c:f>
              <c:numCache>
                <c:formatCode>0%</c:formatCode>
                <c:ptCount val="5"/>
                <c:pt idx="0">
                  <c:v>0.85000000000000053</c:v>
                </c:pt>
                <c:pt idx="1">
                  <c:v>0.85000000000000053</c:v>
                </c:pt>
                <c:pt idx="2">
                  <c:v>0.85000000000000053</c:v>
                </c:pt>
                <c:pt idx="3">
                  <c:v>0.83000000000000052</c:v>
                </c:pt>
                <c:pt idx="4">
                  <c:v>0.81</c:v>
                </c:pt>
              </c:numCache>
            </c:numRef>
          </c:val>
        </c:ser>
        <c:marker val="1"/>
        <c:axId val="96447488"/>
        <c:axId val="96457472"/>
      </c:lineChart>
      <c:catAx>
        <c:axId val="96447488"/>
        <c:scaling>
          <c:orientation val="minMax"/>
        </c:scaling>
        <c:axPos val="b"/>
        <c:numFmt formatCode="General" sourceLinked="1"/>
        <c:majorTickMark val="none"/>
        <c:tickLblPos val="nextTo"/>
        <c:crossAx val="96457472"/>
        <c:crosses val="autoZero"/>
        <c:auto val="1"/>
        <c:lblAlgn val="ctr"/>
        <c:lblOffset val="100"/>
      </c:catAx>
      <c:valAx>
        <c:axId val="96457472"/>
        <c:scaling>
          <c:orientation val="minMax"/>
        </c:scaling>
        <c:axPos val="l"/>
        <c:majorGridlines/>
        <c:numFmt formatCode="0%" sourceLinked="1"/>
        <c:majorTickMark val="none"/>
        <c:tickLblPos val="nextTo"/>
        <c:crossAx val="964474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2BA1-ACA5-4639-8AB2-D214DEF6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saraswati</dc:creator>
  <cp:lastModifiedBy>saraswati</cp:lastModifiedBy>
  <cp:revision>28</cp:revision>
  <dcterms:created xsi:type="dcterms:W3CDTF">2013-12-27T05:17:00Z</dcterms:created>
  <dcterms:modified xsi:type="dcterms:W3CDTF">2013-12-31T07:03:00Z</dcterms:modified>
</cp:coreProperties>
</file>