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sz w:val="24"/>
          <w:sz w:val="24"/>
          <w:szCs w:val="24"/>
          <w:rFonts w:ascii="Cambria" w:hAnsi="Cambria" w:eastAsia="宋体" w:cs="DejaVu Sans"/>
          <w:color w:val="000000"/>
          <w:lang w:val="en-US" w:eastAsia="en-US" w:bidi="ar-SA"/>
        </w:rPr>
      </w:pPr>
      <w:bookmarkStart w:id="0" w:name="__DdeLink__308_1721804513"/>
      <w:bookmarkStart w:id="1" w:name="__DdeLink__308_1721804513"/>
      <w:bookmarkEnd w:id="1"/>
      <w:r>
        <w:rPr>
          <w:rFonts w:eastAsia="宋体" w:cs="DejaVu Sans" w:ascii="Cambria" w:hAnsi="Cambria"/>
          <w:color w:val="000000"/>
          <w:sz w:val="24"/>
          <w:szCs w:val="24"/>
          <w:lang w:val="en-US" w:eastAsia="en-US" w:bidi="ar-SA"/>
        </w:rPr>
      </w:r>
      <w:r/>
    </w:p>
    <w:p>
      <w:pPr>
        <w:pStyle w:val="Normal"/>
        <w:spacing w:lineRule="auto" w:line="240"/>
        <w:jc w:val="both"/>
        <w:rPr>
          <w:sz w:val="24"/>
          <w:b/>
          <w:sz w:val="24"/>
          <w:b/>
          <w:szCs w:val="24"/>
          <w:bCs/>
          <w:rFonts w:ascii="Calibri" w:hAnsi="Calibri" w:eastAsia="宋体" w:cs="Calibri"/>
          <w:color w:val="000000"/>
          <w:lang w:val="en-US" w:eastAsia="en-US" w:bidi="ar-SA"/>
        </w:rPr>
      </w:pPr>
      <w:r>
        <w:rPr>
          <w:rFonts w:cs="Calibri" w:ascii="Cambria" w:hAnsi="Cambria"/>
          <w:b/>
          <w:bCs/>
          <w:color w:val="000000"/>
          <w:sz w:val="24"/>
          <w:szCs w:val="24"/>
        </w:rPr>
        <w:t>Embassy of India</w:t>
      </w:r>
      <w:r/>
    </w:p>
    <w:p>
      <w:pPr>
        <w:pStyle w:val="Normal"/>
        <w:spacing w:lineRule="auto" w:line="240"/>
        <w:jc w:val="both"/>
        <w:rPr>
          <w:sz w:val="24"/>
          <w:b/>
          <w:sz w:val="24"/>
          <w:b/>
          <w:szCs w:val="24"/>
          <w:bCs/>
          <w:rFonts w:ascii="Calibri" w:hAnsi="Calibri" w:eastAsia="宋体" w:cs="Calibri"/>
          <w:color w:val="000000"/>
          <w:lang w:val="en-US" w:eastAsia="en-US" w:bidi="ar-SA"/>
        </w:rPr>
      </w:pPr>
      <w:r>
        <w:rPr>
          <w:rFonts w:cs="Calibri" w:ascii="Cambria" w:hAnsi="Cambria"/>
          <w:b/>
          <w:bCs/>
          <w:color w:val="000000"/>
          <w:sz w:val="24"/>
          <w:szCs w:val="24"/>
        </w:rPr>
        <w:t>Beijing</w:t>
      </w:r>
      <w:r/>
    </w:p>
    <w:p>
      <w:pPr>
        <w:pStyle w:val="Normal"/>
        <w:spacing w:lineRule="auto" w:line="240"/>
        <w:jc w:val="both"/>
        <w:rPr>
          <w:sz w:val="24"/>
          <w:b/>
          <w:sz w:val="24"/>
          <w:b/>
          <w:szCs w:val="24"/>
          <w:bCs/>
          <w:rFonts w:ascii="Calibri" w:hAnsi="Calibri" w:eastAsia="宋体" w:cs="Calibri"/>
          <w:color w:val="000000"/>
          <w:lang w:val="en-US" w:eastAsia="en-US" w:bidi="ar-SA"/>
        </w:rPr>
      </w:pPr>
      <w:r>
        <w:rPr>
          <w:rFonts w:cs="Calibri" w:ascii="Cambria" w:hAnsi="Cambria"/>
          <w:b/>
          <w:bCs/>
          <w:color w:val="000000"/>
          <w:sz w:val="24"/>
          <w:szCs w:val="24"/>
        </w:rPr>
        <w:t>{Trade &amp; Commerce Wing}</w:t>
      </w:r>
      <w:r/>
    </w:p>
    <w:p>
      <w:pPr>
        <w:pStyle w:val="Normal"/>
        <w:spacing w:lineRule="auto" w:line="240"/>
        <w:jc w:val="both"/>
        <w:rPr>
          <w:sz w:val="24"/>
          <w:b/>
          <w:sz w:val="24"/>
          <w:b/>
          <w:szCs w:val="24"/>
          <w:bCs/>
          <w:rFonts w:ascii="Calibri" w:hAnsi="Calibri" w:eastAsia="宋体" w:cs="Calibri"/>
          <w:color w:val="000000"/>
          <w:lang w:val="en-US" w:eastAsia="en-US" w:bidi="ar-SA"/>
        </w:rPr>
      </w:pPr>
      <w:r>
        <w:rPr>
          <w:rFonts w:cs="Calibri" w:ascii="Cambria" w:hAnsi="Cambria"/>
          <w:b/>
          <w:bCs/>
          <w:color w:val="000000"/>
          <w:sz w:val="24"/>
          <w:szCs w:val="24"/>
        </w:rPr>
        <w:t>***</w:t>
      </w:r>
      <w:r/>
    </w:p>
    <w:p>
      <w:pPr>
        <w:pStyle w:val="Normal"/>
        <w:spacing w:lineRule="auto" w:line="240"/>
        <w:jc w:val="both"/>
      </w:pPr>
      <w:r>
        <w:rPr>
          <w:rFonts w:cs="Calibri" w:ascii="Cambria" w:hAnsi="Cambria"/>
          <w:b/>
          <w:bCs/>
          <w:color w:val="000000"/>
          <w:sz w:val="24"/>
          <w:szCs w:val="24"/>
          <w:u w:val="single"/>
        </w:rPr>
        <w:t xml:space="preserve">CHINA-COMMERCIAL SNAPSHOT: June </w:t>
      </w:r>
      <w:r>
        <w:rPr>
          <w:rFonts w:cs="Calibri" w:ascii="Cambria" w:hAnsi="Cambria"/>
          <w:b/>
          <w:bCs/>
          <w:color w:val="000000"/>
          <w:sz w:val="24"/>
          <w:szCs w:val="24"/>
          <w:u w:val="single"/>
        </w:rPr>
        <w:t>7</w:t>
      </w:r>
      <w:r>
        <w:rPr>
          <w:rFonts w:cs="Calibri" w:ascii="Cambria" w:hAnsi="Cambria"/>
          <w:b/>
          <w:bCs/>
          <w:color w:val="000000"/>
          <w:sz w:val="24"/>
          <w:szCs w:val="24"/>
          <w:u w:val="single"/>
        </w:rPr>
        <w:t xml:space="preserve">– June </w:t>
      </w:r>
      <w:r>
        <w:rPr>
          <w:rFonts w:cs="Calibri" w:ascii="Cambria" w:hAnsi="Cambria"/>
          <w:b/>
          <w:bCs/>
          <w:color w:val="000000"/>
          <w:sz w:val="24"/>
          <w:szCs w:val="24"/>
          <w:u w:val="single"/>
        </w:rPr>
        <w:t>14</w:t>
      </w:r>
      <w:r>
        <w:rPr>
          <w:rFonts w:cs="Calibri" w:ascii="Cambria" w:hAnsi="Cambria"/>
          <w:b/>
          <w:bCs/>
          <w:color w:val="000000"/>
          <w:sz w:val="24"/>
          <w:szCs w:val="24"/>
          <w:u w:val="single"/>
        </w:rPr>
        <w:t>, 2016</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u w:val="single"/>
          <w:b/>
          <w:sz w:val="24"/>
          <w:b/>
          <w:szCs w:val="24"/>
          <w:bCs/>
          <w:rFonts w:ascii="Calibri" w:hAnsi="Calibri" w:eastAsia="宋体" w:cs="Calibri"/>
          <w:color w:val="000000"/>
          <w:lang w:val="en-IN" w:eastAsia="en-US" w:bidi="ar-SA"/>
        </w:rPr>
      </w:pPr>
      <w:r>
        <w:rPr>
          <w:rFonts w:cs="Calibri" w:ascii="Cambria" w:hAnsi="Cambria"/>
          <w:b/>
          <w:bCs/>
          <w:color w:val="000000"/>
          <w:sz w:val="24"/>
          <w:szCs w:val="24"/>
          <w:u w:val="single"/>
          <w:lang w:val="en-IN"/>
        </w:rPr>
        <w:t>Summary:</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I)</w:t>
      </w:r>
      <w:r>
        <w:rPr>
          <w:rFonts w:ascii="Cambria" w:hAnsi="Cambria"/>
          <w:b/>
          <w:bCs/>
          <w:color w:val="000000"/>
          <w:sz w:val="24"/>
          <w:szCs w:val="24"/>
          <w:u w:val="single"/>
        </w:rPr>
        <w:t xml:space="preserve"> External</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numPr>
          <w:ilvl w:val="0"/>
          <w:numId w:val="2"/>
        </w:numPr>
        <w:spacing w:lineRule="auto" w:line="240"/>
        <w:ind w:left="0" w:right="0" w:hanging="0"/>
        <w:jc w:val="both"/>
      </w:pPr>
      <w:r>
        <w:rPr>
          <w:rFonts w:ascii="Cambria" w:hAnsi="Cambria"/>
          <w:b/>
          <w:bCs/>
          <w:color w:val="000000"/>
          <w:sz w:val="24"/>
          <w:szCs w:val="24"/>
        </w:rPr>
        <w:t xml:space="preserve">Business alliance </w:t>
      </w:r>
      <w:r>
        <w:rPr>
          <w:rFonts w:ascii="Cambria" w:hAnsi="Cambria"/>
          <w:b/>
          <w:bCs/>
          <w:color w:val="000000"/>
          <w:sz w:val="24"/>
          <w:szCs w:val="24"/>
        </w:rPr>
        <w:t xml:space="preserve">to enhance </w:t>
      </w:r>
      <w:r>
        <w:rPr>
          <w:rFonts w:ascii="Cambria" w:hAnsi="Cambria"/>
          <w:b/>
          <w:bCs/>
          <w:color w:val="000000"/>
          <w:sz w:val="24"/>
          <w:szCs w:val="24"/>
        </w:rPr>
        <w:t>cross</w:t>
        <w:softHyphen/>
        <w:t>border e</w:t>
        <w:softHyphen/>
        <w:t>commerce      along Mekong River</w:t>
      </w:r>
      <w:r>
        <w:rPr>
          <w:rFonts w:ascii="Cambria" w:hAnsi="Cambria"/>
          <w:color w:val="000000"/>
          <w:sz w:val="24"/>
          <w:szCs w:val="24"/>
        </w:rPr>
        <w:t xml:space="preserve"> </w:t>
      </w:r>
      <w:r/>
    </w:p>
    <w:p>
      <w:pPr>
        <w:pStyle w:val="Normal"/>
        <w:numPr>
          <w:ilvl w:val="0"/>
          <w:numId w:val="2"/>
        </w:numPr>
        <w:spacing w:lineRule="auto" w:line="240"/>
        <w:ind w:left="0" w:right="0" w:hanging="0"/>
        <w:jc w:val="both"/>
      </w:pPr>
      <w:r>
        <w:rPr>
          <w:rFonts w:ascii="Cambria" w:hAnsi="Cambria"/>
          <w:b/>
          <w:bCs/>
          <w:color w:val="000000"/>
          <w:sz w:val="24"/>
          <w:szCs w:val="24"/>
        </w:rPr>
        <w:t>China, Georgia agree for greater cooperation on Silk Road Economic Belt initiative</w:t>
      </w:r>
      <w:r>
        <w:rPr>
          <w:rFonts w:ascii="Cambria" w:hAnsi="Cambria"/>
          <w:color w:val="000000"/>
          <w:sz w:val="24"/>
          <w:szCs w:val="24"/>
        </w:rPr>
        <w:t xml:space="preserve"> </w:t>
      </w:r>
      <w:r/>
    </w:p>
    <w:p>
      <w:pPr>
        <w:pStyle w:val="Normal"/>
        <w:numPr>
          <w:ilvl w:val="0"/>
          <w:numId w:val="2"/>
        </w:numPr>
        <w:spacing w:lineRule="auto" w:line="240"/>
        <w:ind w:left="0" w:right="0" w:hanging="0"/>
        <w:jc w:val="both"/>
      </w:pPr>
      <w:r>
        <w:rPr>
          <w:rFonts w:eastAsia="宋体" w:cs="DejaVu Sans" w:ascii="Cambria" w:hAnsi="Cambria"/>
          <w:b/>
          <w:bCs/>
          <w:color w:val="000000"/>
          <w:sz w:val="24"/>
          <w:szCs w:val="24"/>
          <w:lang w:val="en-US" w:eastAsia="en-US" w:bidi="ar-SA"/>
        </w:rPr>
        <w:t>Chinese, German companies sign 96 cooperation projects</w:t>
      </w:r>
      <w:r/>
    </w:p>
    <w:p>
      <w:pPr>
        <w:pStyle w:val="Normal"/>
        <w:numPr>
          <w:ilvl w:val="0"/>
          <w:numId w:val="2"/>
        </w:numPr>
        <w:spacing w:lineRule="auto" w:line="240"/>
        <w:ind w:left="0" w:right="0" w:hanging="0"/>
        <w:jc w:val="both"/>
      </w:pPr>
      <w:r>
        <w:rPr>
          <w:rFonts w:eastAsia="宋体" w:cs="DejaVu Sans" w:ascii="Cambria" w:hAnsi="Cambria"/>
          <w:b/>
          <w:bCs/>
          <w:i w:val="false"/>
          <w:caps w:val="false"/>
          <w:smallCaps w:val="false"/>
          <w:color w:val="000000"/>
          <w:spacing w:val="0"/>
          <w:sz w:val="24"/>
          <w:szCs w:val="24"/>
          <w:lang w:val="en-US" w:eastAsia="en-US" w:bidi="ar-SA"/>
        </w:rPr>
        <w:t>China remains Dubai's top trading partner in Q1 2016</w:t>
      </w:r>
      <w:r/>
    </w:p>
    <w:p>
      <w:pPr>
        <w:pStyle w:val="Normal"/>
        <w:numPr>
          <w:ilvl w:val="0"/>
          <w:numId w:val="0"/>
        </w:numPr>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u w:val="single"/>
          <w:b/>
          <w:sz w:val="24"/>
          <w:b/>
          <w:szCs w:val="24"/>
          <w:bCs/>
          <w:rFonts w:ascii="Calibri" w:hAnsi="Calibri" w:eastAsia="宋体" w:cs="Calibri"/>
          <w:color w:val="000000"/>
          <w:lang w:val="en-US" w:eastAsia="en-US" w:bidi="ar-SA"/>
        </w:rPr>
      </w:pPr>
      <w:r>
        <w:rPr>
          <w:rFonts w:cs="Calibri" w:ascii="Cambria" w:hAnsi="Cambria"/>
          <w:b/>
          <w:bCs/>
          <w:color w:val="000000"/>
          <w:sz w:val="24"/>
          <w:szCs w:val="24"/>
          <w:u w:val="single"/>
        </w:rPr>
        <w:t>II)  Internal</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TableContents"/>
        <w:numPr>
          <w:ilvl w:val="0"/>
          <w:numId w:val="2"/>
        </w:numPr>
        <w:spacing w:lineRule="auto" w:line="240" w:before="0" w:after="0"/>
        <w:ind w:left="0" w:right="0" w:hanging="0"/>
        <w:jc w:val="both"/>
      </w:pPr>
      <w:r>
        <w:rPr>
          <w:rFonts w:ascii="Cambria" w:hAnsi="Cambria"/>
          <w:b/>
          <w:bCs/>
          <w:color w:val="000000"/>
          <w:sz w:val="24"/>
          <w:szCs w:val="24"/>
        </w:rPr>
        <w:t xml:space="preserve">China's ship-breaking industry </w:t>
      </w:r>
      <w:r>
        <w:rPr>
          <w:rFonts w:ascii="Cambria" w:hAnsi="Cambria"/>
          <w:b/>
          <w:bCs/>
          <w:color w:val="000000"/>
          <w:sz w:val="24"/>
          <w:szCs w:val="24"/>
        </w:rPr>
        <w:t>under stress</w:t>
      </w:r>
      <w:r/>
    </w:p>
    <w:p>
      <w:pPr>
        <w:pStyle w:val="TableContents"/>
        <w:numPr>
          <w:ilvl w:val="0"/>
          <w:numId w:val="2"/>
        </w:numPr>
        <w:spacing w:lineRule="auto" w:line="240" w:before="0" w:after="0"/>
        <w:ind w:left="0" w:right="0" w:hanging="0"/>
        <w:jc w:val="both"/>
      </w:pPr>
      <w:r>
        <w:rPr>
          <w:rFonts w:ascii="Cambria" w:hAnsi="Cambria"/>
          <w:b/>
          <w:bCs/>
          <w:color w:val="000000"/>
          <w:sz w:val="24"/>
          <w:szCs w:val="24"/>
        </w:rPr>
        <w:t>China's insurance sector to expand on rising middle class, aging population</w:t>
      </w:r>
      <w:r/>
    </w:p>
    <w:p>
      <w:pPr>
        <w:pStyle w:val="TableContents"/>
        <w:numPr>
          <w:ilvl w:val="0"/>
          <w:numId w:val="2"/>
        </w:numPr>
        <w:spacing w:lineRule="auto" w:line="240" w:before="0" w:after="0"/>
        <w:ind w:left="0" w:right="0" w:hanging="0"/>
        <w:jc w:val="both"/>
      </w:pPr>
      <w:r>
        <w:rPr>
          <w:rFonts w:ascii="Cambria" w:hAnsi="Cambria"/>
          <w:b/>
          <w:bCs/>
          <w:color w:val="000000"/>
          <w:sz w:val="24"/>
          <w:szCs w:val="24"/>
        </w:rPr>
        <w:t xml:space="preserve"> </w:t>
      </w:r>
      <w:r>
        <w:rPr>
          <w:rFonts w:ascii="Cambria" w:hAnsi="Cambria"/>
          <w:b/>
          <w:bCs/>
          <w:color w:val="000000"/>
          <w:sz w:val="24"/>
          <w:szCs w:val="24"/>
        </w:rPr>
        <w:t xml:space="preserve">China opens Horgos railway port in Xinjiang </w:t>
      </w:r>
      <w:r/>
    </w:p>
    <w:p>
      <w:pPr>
        <w:pStyle w:val="TableContents"/>
        <w:numPr>
          <w:ilvl w:val="0"/>
          <w:numId w:val="2"/>
        </w:numPr>
        <w:spacing w:lineRule="auto" w:line="240" w:before="0" w:after="0"/>
        <w:ind w:left="0" w:right="0" w:hanging="0"/>
        <w:jc w:val="both"/>
      </w:pPr>
      <w:r>
        <w:rPr>
          <w:rFonts w:ascii="Cambria" w:hAnsi="Cambria"/>
          <w:b/>
          <w:bCs/>
          <w:i w:val="false"/>
          <w:caps w:val="false"/>
          <w:smallCaps w:val="false"/>
          <w:color w:val="000000"/>
          <w:spacing w:val="0"/>
          <w:sz w:val="24"/>
          <w:szCs w:val="24"/>
        </w:rPr>
        <w:t>China's TV shopping sales up 13 pct in 2015</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u w:val="single"/>
          <w:b/>
          <w:sz w:val="24"/>
          <w:b/>
          <w:szCs w:val="24"/>
          <w:bCs/>
          <w:rFonts w:ascii="Calibri" w:hAnsi="Calibri" w:eastAsia="宋体" w:cs="Calibri"/>
          <w:color w:val="000000"/>
          <w:lang w:val="en-US" w:eastAsia="en-US" w:bidi="ar-SA"/>
        </w:rPr>
      </w:pPr>
      <w:r>
        <w:rPr>
          <w:rFonts w:cs="Calibri" w:ascii="Cambria" w:hAnsi="Cambria"/>
          <w:b/>
          <w:bCs/>
          <w:color w:val="000000"/>
          <w:sz w:val="24"/>
          <w:szCs w:val="24"/>
          <w:u w:val="single"/>
        </w:rPr>
        <w:t>III) Industry and Companies</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TextBody"/>
        <w:widowControl/>
        <w:numPr>
          <w:ilvl w:val="0"/>
          <w:numId w:val="2"/>
        </w:numPr>
        <w:spacing w:lineRule="auto" w:line="240" w:before="0" w:after="0"/>
        <w:jc w:val="both"/>
      </w:pPr>
      <w:r>
        <w:rPr>
          <w:rFonts w:eastAsia="宋体" w:cs="DejaVu Sans" w:ascii="Cambria" w:hAnsi="Cambria"/>
          <w:b/>
          <w:bCs/>
          <w:color w:val="000000"/>
          <w:sz w:val="24"/>
          <w:szCs w:val="24"/>
          <w:lang w:val="en-US" w:eastAsia="en-US" w:bidi="ar-SA"/>
        </w:rPr>
        <w:t>China Three Gorges to buy German wind park Meerwind from Blackstone</w:t>
      </w:r>
      <w:r/>
    </w:p>
    <w:p>
      <w:pPr>
        <w:pStyle w:val="TextBody"/>
        <w:widowControl/>
        <w:numPr>
          <w:ilvl w:val="0"/>
          <w:numId w:val="2"/>
        </w:numPr>
        <w:spacing w:lineRule="auto" w:line="240" w:before="0" w:after="0"/>
        <w:jc w:val="both"/>
      </w:pPr>
      <w:r>
        <w:rPr>
          <w:rFonts w:eastAsia="宋体" w:cs="DejaVu Sans" w:ascii="Cambria" w:hAnsi="Cambria"/>
          <w:b/>
          <w:bCs/>
          <w:color w:val="000000"/>
          <w:sz w:val="24"/>
          <w:szCs w:val="24"/>
          <w:lang w:val="en-US" w:eastAsia="en-US" w:bidi="ar-SA"/>
        </w:rPr>
        <w:t xml:space="preserve"> </w:t>
      </w:r>
      <w:r>
        <w:rPr>
          <w:rFonts w:eastAsia="宋体" w:cs="DejaVu Sans" w:ascii="Cambria" w:hAnsi="Cambria"/>
          <w:b/>
          <w:bCs/>
          <w:color w:val="000000"/>
          <w:sz w:val="24"/>
          <w:szCs w:val="24"/>
          <w:lang w:val="en-US" w:eastAsia="en-US" w:bidi="ar-SA"/>
        </w:rPr>
        <w:t>Microsoft to buy LinkedIn for $26.2b</w:t>
      </w:r>
      <w:r/>
    </w:p>
    <w:p>
      <w:pPr>
        <w:pStyle w:val="TextBody"/>
        <w:widowControl/>
        <w:numPr>
          <w:ilvl w:val="0"/>
          <w:numId w:val="2"/>
        </w:numPr>
        <w:spacing w:lineRule="auto" w:line="240" w:before="0" w:after="0"/>
        <w:jc w:val="both"/>
      </w:pPr>
      <w:r>
        <w:rPr>
          <w:rFonts w:eastAsia="宋体" w:cs="DejaVu Sans" w:ascii="Cambria" w:hAnsi="Cambria"/>
          <w:b/>
          <w:bCs/>
          <w:color w:val="000000"/>
          <w:sz w:val="24"/>
          <w:szCs w:val="24"/>
          <w:lang w:val="en-US" w:eastAsia="en-US" w:bidi="ar-SA"/>
        </w:rPr>
        <w:t>Bank of Beijing to invest in tech startups for high growth</w:t>
      </w:r>
      <w:r/>
    </w:p>
    <w:p>
      <w:pPr>
        <w:pStyle w:val="TextBody"/>
        <w:widowControl/>
        <w:numPr>
          <w:ilvl w:val="0"/>
          <w:numId w:val="2"/>
        </w:numPr>
        <w:spacing w:lineRule="auto" w:line="240" w:before="0" w:after="0"/>
        <w:jc w:val="both"/>
      </w:pPr>
      <w:r>
        <w:rPr>
          <w:rFonts w:eastAsia="宋体" w:cs="DejaVu Sans" w:ascii="Cambria" w:hAnsi="Cambria"/>
          <w:b/>
          <w:bCs/>
          <w:color w:val="000000"/>
          <w:sz w:val="24"/>
          <w:szCs w:val="24"/>
          <w:lang w:val="en-US" w:eastAsia="en-US" w:bidi="ar-SA"/>
        </w:rPr>
        <w:t xml:space="preserve">Merger of China Shipbuilding's two units to improve efficiency </w:t>
      </w:r>
      <w:r/>
    </w:p>
    <w:p>
      <w:pPr>
        <w:pStyle w:val="Normal"/>
        <w:numPr>
          <w:ilvl w:val="0"/>
          <w:numId w:val="0"/>
        </w:numPr>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numPr>
          <w:ilvl w:val="0"/>
          <w:numId w:val="0"/>
        </w:numPr>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u w:val="single"/>
          <w:b/>
          <w:sz w:val="24"/>
          <w:b/>
          <w:szCs w:val="24"/>
          <w:bCs/>
          <w:rFonts w:ascii="Calibri" w:hAnsi="Calibri" w:eastAsia="宋体" w:cs="Calibri"/>
          <w:color w:val="000000"/>
          <w:lang w:val="en-US" w:eastAsia="en-US" w:bidi="ar-SA"/>
        </w:rPr>
      </w:pPr>
      <w:r>
        <w:rPr>
          <w:rFonts w:cs="Calibri" w:ascii="Cambria" w:hAnsi="Cambria"/>
          <w:b/>
          <w:bCs/>
          <w:color w:val="000000"/>
          <w:sz w:val="24"/>
          <w:szCs w:val="24"/>
          <w:u w:val="single"/>
        </w:rPr>
        <w:t>IV) Statistics and Figures</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numPr>
          <w:ilvl w:val="0"/>
          <w:numId w:val="2"/>
        </w:numPr>
        <w:spacing w:lineRule="auto" w:line="240"/>
        <w:jc w:val="both"/>
      </w:pPr>
      <w:r>
        <w:rPr>
          <w:rFonts w:eastAsia="宋体" w:cs="DejaVu Sans" w:ascii="Cambria" w:hAnsi="Cambria"/>
          <w:b/>
          <w:bCs/>
          <w:color w:val="000000"/>
          <w:sz w:val="24"/>
          <w:szCs w:val="24"/>
          <w:lang w:val="en-US" w:eastAsia="en-US" w:bidi="ar-SA"/>
        </w:rPr>
        <w:t xml:space="preserve">China's electricity consumption </w:t>
      </w:r>
      <w:r>
        <w:rPr>
          <w:rFonts w:eastAsia="宋体" w:cs="DejaVu Sans" w:ascii="Cambria" w:hAnsi="Cambria"/>
          <w:b/>
          <w:bCs/>
          <w:color w:val="000000"/>
          <w:sz w:val="24"/>
          <w:szCs w:val="24"/>
          <w:lang w:val="en-US" w:eastAsia="en-US" w:bidi="ar-SA"/>
        </w:rPr>
        <w:t>increases</w:t>
      </w:r>
      <w:r>
        <w:rPr>
          <w:rFonts w:eastAsia="宋体" w:cs="DejaVu Sans" w:ascii="Cambria" w:hAnsi="Cambria"/>
          <w:b/>
          <w:bCs/>
          <w:color w:val="000000"/>
          <w:sz w:val="24"/>
          <w:szCs w:val="24"/>
          <w:lang w:val="en-US" w:eastAsia="en-US" w:bidi="ar-SA"/>
        </w:rPr>
        <w:t xml:space="preserve"> in May</w:t>
      </w:r>
      <w:r>
        <w:rPr>
          <w:rFonts w:eastAsia="宋体" w:cs="DejaVu Sans" w:ascii="Cambria" w:hAnsi="Cambria"/>
          <w:color w:val="000000"/>
          <w:sz w:val="24"/>
          <w:szCs w:val="24"/>
          <w:lang w:val="en-US" w:eastAsia="en-US" w:bidi="ar-SA"/>
        </w:rPr>
        <w:t xml:space="preserve"> </w:t>
      </w:r>
      <w:r/>
    </w:p>
    <w:p>
      <w:pPr>
        <w:pStyle w:val="Normal"/>
        <w:numPr>
          <w:ilvl w:val="0"/>
          <w:numId w:val="2"/>
        </w:numPr>
        <w:spacing w:lineRule="auto" w:line="240"/>
        <w:jc w:val="both"/>
      </w:pPr>
      <w:r>
        <w:rPr>
          <w:rFonts w:eastAsia="宋体" w:cs="DejaVu Sans" w:ascii="Cambria" w:hAnsi="Cambria"/>
          <w:b/>
          <w:bCs/>
          <w:color w:val="000000"/>
          <w:sz w:val="24"/>
          <w:szCs w:val="24"/>
          <w:lang w:val="en-US" w:eastAsia="en-US" w:bidi="ar-SA"/>
        </w:rPr>
        <w:t>China's fiscal revenue rises 7.3% in May</w:t>
      </w:r>
      <w:r/>
    </w:p>
    <w:p>
      <w:pPr>
        <w:pStyle w:val="Normal"/>
        <w:numPr>
          <w:ilvl w:val="0"/>
          <w:numId w:val="2"/>
        </w:numPr>
        <w:spacing w:lineRule="auto" w:line="240"/>
        <w:jc w:val="both"/>
      </w:pPr>
      <w:r>
        <w:rPr>
          <w:rFonts w:eastAsia="宋体" w:cs="DejaVu Sans" w:ascii="Cambria" w:hAnsi="Cambria"/>
          <w:b/>
          <w:bCs/>
          <w:color w:val="000000"/>
          <w:sz w:val="24"/>
          <w:szCs w:val="24"/>
          <w:lang w:val="en-US" w:eastAsia="en-US" w:bidi="ar-SA"/>
        </w:rPr>
        <w:t xml:space="preserve"> </w:t>
      </w:r>
      <w:r>
        <w:rPr>
          <w:rFonts w:eastAsia="宋体" w:cs="DejaVu Sans" w:ascii="Cambria" w:hAnsi="Cambria"/>
          <w:b/>
          <w:bCs/>
          <w:color w:val="000000"/>
          <w:sz w:val="24"/>
          <w:szCs w:val="24"/>
          <w:lang w:val="en-US" w:eastAsia="en-US" w:bidi="ar-SA"/>
        </w:rPr>
        <w:t xml:space="preserve">China's exports rise, imports rebound in May </w:t>
      </w:r>
      <w:r/>
    </w:p>
    <w:p>
      <w:pPr>
        <w:pStyle w:val="Normal"/>
        <w:numPr>
          <w:ilvl w:val="0"/>
          <w:numId w:val="2"/>
        </w:numPr>
        <w:spacing w:lineRule="auto" w:line="240"/>
        <w:jc w:val="both"/>
      </w:pPr>
      <w:r>
        <w:rPr>
          <w:rFonts w:ascii="Cambria" w:hAnsi="Cambria"/>
          <w:b/>
          <w:bCs/>
          <w:color w:val="000000"/>
          <w:sz w:val="24"/>
          <w:szCs w:val="24"/>
        </w:rPr>
        <w:t xml:space="preserve">China's property investment slightly </w:t>
      </w:r>
      <w:r>
        <w:rPr>
          <w:rFonts w:ascii="Cambria" w:hAnsi="Cambria"/>
          <w:b/>
          <w:bCs/>
          <w:color w:val="000000"/>
          <w:sz w:val="24"/>
          <w:szCs w:val="24"/>
        </w:rPr>
        <w:t>slows down, while sales increased</w:t>
      </w:r>
      <w:r>
        <w:rPr>
          <w:rFonts w:ascii="Cambria" w:hAnsi="Cambria"/>
          <w:color w:val="000000"/>
          <w:sz w:val="24"/>
          <w:szCs w:val="24"/>
        </w:rPr>
        <w:t xml:space="preserve"> </w:t>
      </w:r>
      <w:r/>
    </w:p>
    <w:p>
      <w:pPr>
        <w:pStyle w:val="Normal"/>
        <w:numPr>
          <w:ilvl w:val="0"/>
          <w:numId w:val="0"/>
        </w:numPr>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numPr>
          <w:ilvl w:val="0"/>
          <w:numId w:val="0"/>
        </w:numPr>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numPr>
          <w:ilvl w:val="0"/>
          <w:numId w:val="1"/>
        </w:numPr>
        <w:spacing w:lineRule="auto" w:line="240"/>
        <w:jc w:val="both"/>
      </w:pPr>
      <w:r>
        <w:rPr>
          <w:rFonts w:cs="Calibri" w:ascii="Cambria" w:hAnsi="Cambria"/>
          <w:b/>
          <w:bCs/>
          <w:color w:val="000000"/>
          <w:sz w:val="24"/>
          <w:szCs w:val="24"/>
          <w:u w:val="single"/>
        </w:rPr>
        <w:t>External</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 xml:space="preserve">Business alliance </w:t>
      </w:r>
      <w:r>
        <w:rPr>
          <w:rFonts w:ascii="Cambria" w:hAnsi="Cambria"/>
          <w:b/>
          <w:bCs/>
          <w:color w:val="000000"/>
          <w:sz w:val="24"/>
          <w:szCs w:val="24"/>
        </w:rPr>
        <w:t xml:space="preserve">to enhance </w:t>
      </w:r>
      <w:r>
        <w:rPr>
          <w:rFonts w:ascii="Cambria" w:hAnsi="Cambria"/>
          <w:b/>
          <w:bCs/>
          <w:color w:val="000000"/>
          <w:sz w:val="24"/>
          <w:szCs w:val="24"/>
        </w:rPr>
        <w:t>cross</w:t>
        <w:softHyphen/>
        <w:t>border e</w:t>
        <w:softHyphen/>
        <w:t>commerce along Mekong River</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t>Companies and organizations from six countries along the Mekong River, Cambodia, China, Laos, Myanmar, Thailand and Vietnam have established a business alliance, with a view to build a platform for cross</w:t>
        <w:softHyphen/>
        <w:t>border e</w:t>
        <w:softHyphen/>
        <w:t>commerce. The alliance, will boost cross</w:t>
        <w:softHyphen/>
        <w:t>border trade through e</w:t>
        <w:softHyphen/>
        <w:t>commerce across the Greater Mekong Sub</w:t>
        <w:softHyphen/>
        <w:t xml:space="preserve">region (GMS), Yi Hong, chairman of the alliance, said at a forum on GMS economic cooperation held in Kunming, capital of southwest China's Yunnan province. </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China, Georgia agree for greater cooperation on Silk Road Economic Belt initiative</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before="0" w:after="0"/>
        <w:jc w:val="both"/>
      </w:pPr>
      <w:r>
        <w:rPr>
          <w:rFonts w:ascii="Cambria" w:hAnsi="Cambria"/>
          <w:color w:val="000000"/>
          <w:sz w:val="24"/>
          <w:szCs w:val="24"/>
        </w:rPr>
        <w:t>China and Georgia agreed here to conduct deeper cooperation on China's initiatives of building Silk Road Economic Belt, vowing to speed up FTA negotiation. The consensus was reached during Chinese Vice Premier Zhang Gaoli's respective meetings with president and prime minister of the Transcaucasian country. In the meeting with Georgian President Giorgi Margvelashvili, Zhang called on both countries to explore cooperation on hydro</w:t>
        <w:softHyphen/>
        <w:t xml:space="preserve">electricity, automobile, locomotive, mechanical and electronic products in the hope of cultivating a new growth point of production capacity cooperation. </w:t>
      </w:r>
      <w:r/>
    </w:p>
    <w:p>
      <w:pPr>
        <w:pStyle w:val="Heading1"/>
        <w:spacing w:lineRule="auto" w:line="240" w:before="0" w:after="0"/>
        <w:ind w:left="0" w:right="0" w:hanging="0"/>
        <w:jc w:val="both"/>
        <w:rPr>
          <w:sz w:val="24"/>
          <w:sz w:val="24"/>
          <w:szCs w:val="24"/>
          <w:rFonts w:ascii="Cambria" w:hAnsi="Cambria" w:eastAsia="Droid Sans Fallback" w:cs="FreeSans"/>
          <w:color w:val="000000"/>
          <w:lang w:val="en-US" w:eastAsia="en-US" w:bidi="ar-SA"/>
        </w:rPr>
      </w:pPr>
      <w:r>
        <w:rPr>
          <w:rFonts w:ascii="Cambria" w:hAnsi="Cambria"/>
          <w:color w:val="000000"/>
          <w:sz w:val="24"/>
          <w:szCs w:val="24"/>
        </w:rPr>
      </w:r>
      <w:r/>
    </w:p>
    <w:p>
      <w:pPr>
        <w:pStyle w:val="Heading1"/>
        <w:spacing w:lineRule="auto" w:line="240" w:before="0" w:after="0"/>
        <w:ind w:left="0" w:right="0" w:hanging="0"/>
        <w:jc w:val="both"/>
      </w:pPr>
      <w:r>
        <w:rPr>
          <w:rFonts w:ascii="Cambria" w:hAnsi="Cambria"/>
          <w:b/>
          <w:bCs/>
          <w:color w:val="000000"/>
          <w:sz w:val="24"/>
          <w:szCs w:val="24"/>
        </w:rPr>
        <w:t>Chinese, German companies sign 96 cooperation projects</w:t>
      </w:r>
      <w:r/>
    </w:p>
    <w:p>
      <w:pPr>
        <w:pStyle w:val="Heading1"/>
        <w:spacing w:lineRule="auto" w:line="240" w:before="0" w:after="0"/>
        <w:ind w:left="0" w:right="0" w:hanging="0"/>
        <w:jc w:val="both"/>
        <w:rPr>
          <w:b/>
          <w:b/>
          <w:bCs/>
        </w:rPr>
      </w:pPr>
      <w:r>
        <w:rPr>
          <w:rFonts w:ascii="Cambria" w:hAnsi="Cambria"/>
          <w:color w:val="000000"/>
          <w:sz w:val="24"/>
          <w:szCs w:val="24"/>
        </w:rPr>
      </w:r>
      <w:r/>
    </w:p>
    <w:p>
      <w:pPr>
        <w:pStyle w:val="TextBody"/>
        <w:spacing w:lineRule="auto" w:line="240" w:before="0" w:after="288"/>
        <w:ind w:left="0" w:right="0" w:hanging="0"/>
        <w:jc w:val="both"/>
      </w:pPr>
      <w:r>
        <w:rPr>
          <w:rFonts w:ascii="Cambria" w:hAnsi="Cambria"/>
          <w:b w:val="false"/>
          <w:bCs/>
          <w:i w:val="false"/>
          <w:caps w:val="false"/>
          <w:smallCaps w:val="false"/>
          <w:color w:val="000000"/>
          <w:spacing w:val="0"/>
          <w:sz w:val="24"/>
          <w:szCs w:val="24"/>
        </w:rPr>
        <w:t xml:space="preserve">A total of 96 contracts worth 15 billion U.S. dollars were signed on </w:t>
      </w:r>
      <w:r>
        <w:rPr>
          <w:rFonts w:ascii="Cambria" w:hAnsi="Cambria"/>
          <w:b w:val="false"/>
          <w:bCs/>
          <w:i w:val="false"/>
          <w:caps w:val="false"/>
          <w:smallCaps w:val="false"/>
          <w:color w:val="000000"/>
          <w:spacing w:val="0"/>
          <w:sz w:val="24"/>
          <w:szCs w:val="24"/>
        </w:rPr>
        <w:t xml:space="preserve">June 13, 2016 </w:t>
      </w:r>
      <w:r>
        <w:rPr>
          <w:rFonts w:ascii="Cambria" w:hAnsi="Cambria"/>
          <w:b w:val="false"/>
          <w:bCs/>
          <w:i w:val="false"/>
          <w:caps w:val="false"/>
          <w:smallCaps w:val="false"/>
          <w:color w:val="000000"/>
          <w:spacing w:val="0"/>
          <w:sz w:val="24"/>
          <w:szCs w:val="24"/>
        </w:rPr>
        <w:t xml:space="preserve">between Chinese and German companies at the eighth Chinese-German Forum for Economic and Technological Cooperation. </w:t>
      </w:r>
      <w:r>
        <w:rPr>
          <w:rFonts w:ascii="Cambria" w:hAnsi="Cambria"/>
          <w:b w:val="false"/>
          <w:i w:val="false"/>
          <w:caps w:val="false"/>
          <w:smallCaps w:val="false"/>
          <w:color w:val="000000"/>
          <w:spacing w:val="0"/>
          <w:sz w:val="24"/>
          <w:szCs w:val="24"/>
        </w:rPr>
        <w:t xml:space="preserve">There is great room for cooperation between our two countries as both upgrade their economic structure, said Lin Nianxiu, deputy director of the National Development and Reform Commission (NDRC), the country's top economic planning body. </w:t>
      </w:r>
      <w:r/>
    </w:p>
    <w:p>
      <w:pPr>
        <w:pStyle w:val="TextBody"/>
        <w:spacing w:lineRule="auto" w:line="240"/>
        <w:jc w:val="both"/>
        <w:rPr>
          <w:smallCaps w:val="false"/>
          <w:caps w:val="false"/>
          <w:sz w:val="24"/>
          <w:spacing w:val="0"/>
          <w:i w:val="false"/>
          <w:b w:val="false"/>
          <w:sz w:val="24"/>
          <w:szCs w:val="24"/>
          <w:rFonts w:ascii="Cambria" w:hAnsi="Cambria"/>
          <w:color w:val="000000"/>
        </w:rPr>
      </w:pPr>
      <w:r>
        <w:rPr/>
      </w:r>
      <w:r/>
    </w:p>
    <w:p>
      <w:pPr>
        <w:pStyle w:val="TextBody"/>
        <w:widowControl/>
        <w:spacing w:lineRule="auto" w:line="240" w:before="0" w:after="300"/>
        <w:ind w:left="0" w:right="0" w:hanging="0"/>
        <w:jc w:val="both"/>
        <w:rPr>
          <w:smallCaps w:val="false"/>
          <w:caps w:val="false"/>
          <w:sz w:val="24"/>
          <w:spacing w:val="0"/>
          <w:i w:val="false"/>
          <w:b/>
          <w:sz w:val="24"/>
          <w:szCs w:val="24"/>
          <w:rFonts w:ascii="Cambria" w:hAnsi="Cambria" w:eastAsia="宋体" w:cs="DejaVu Sans"/>
          <w:color w:val="000000"/>
          <w:lang w:val="en-US" w:eastAsia="en-US" w:bidi="ar-SA"/>
        </w:rPr>
      </w:pPr>
      <w:bookmarkStart w:id="2" w:name="__DdeLink__419_1162134082"/>
      <w:bookmarkEnd w:id="2"/>
      <w:r>
        <w:rPr>
          <w:rFonts w:ascii="Cambria" w:hAnsi="Cambria"/>
          <w:b/>
          <w:i w:val="false"/>
          <w:caps w:val="false"/>
          <w:smallCaps w:val="false"/>
          <w:color w:val="000000"/>
          <w:spacing w:val="0"/>
          <w:sz w:val="24"/>
          <w:szCs w:val="24"/>
        </w:rPr>
        <w:t>China remains Dubai's top trading partner in Q1 2016</w:t>
      </w:r>
      <w:r/>
    </w:p>
    <w:p>
      <w:pPr>
        <w:pStyle w:val="TextBody"/>
        <w:widowControl/>
        <w:spacing w:lineRule="auto" w:line="240" w:before="0" w:after="300"/>
        <w:ind w:left="0" w:right="0" w:hanging="0"/>
        <w:jc w:val="both"/>
      </w:pPr>
      <w:r>
        <w:rPr>
          <w:rFonts w:ascii="Cambria" w:hAnsi="Cambria"/>
          <w:b w:val="false"/>
          <w:i w:val="false"/>
          <w:caps w:val="false"/>
          <w:smallCaps w:val="false"/>
          <w:color w:val="000000"/>
          <w:spacing w:val="0"/>
          <w:sz w:val="24"/>
          <w:szCs w:val="24"/>
        </w:rPr>
        <w:t xml:space="preserve">China topped Dubai's trading partners with bilateral trade totaling 39 billion dirham (10.6 billion U.S. dollars) in the first quarter of 2016, Dubai Customs said here on </w:t>
        <w:tab/>
      </w:r>
      <w:r>
        <w:rPr>
          <w:rFonts w:ascii="Cambria" w:hAnsi="Cambria"/>
          <w:b w:val="false"/>
          <w:i w:val="false"/>
          <w:caps w:val="false"/>
          <w:smallCaps w:val="false"/>
          <w:color w:val="000000"/>
          <w:spacing w:val="0"/>
          <w:sz w:val="24"/>
          <w:szCs w:val="24"/>
        </w:rPr>
        <w:t>June 13, 2016</w:t>
      </w:r>
      <w:r>
        <w:rPr>
          <w:rFonts w:ascii="Cambria" w:hAnsi="Cambria"/>
          <w:b w:val="false"/>
          <w:i w:val="false"/>
          <w:caps w:val="false"/>
          <w:smallCaps w:val="false"/>
          <w:color w:val="000000"/>
          <w:spacing w:val="0"/>
          <w:sz w:val="24"/>
          <w:szCs w:val="24"/>
        </w:rPr>
        <w:t>. India followed second with 24 billion dirham (6.5 billion dollars) worth of trade. The United States came third with 22 billion dirham (six billion dollars). China became Dubai's biggest trade partner in 2014, when it surpassed India for the first time with bilateral ex change hitting 175 billion dirham (47.7 billion dollars).</w:t>
      </w:r>
      <w:r/>
    </w:p>
    <w:p>
      <w:pPr>
        <w:pStyle w:val="Normal"/>
        <w:spacing w:lineRule="auto" w:line="240"/>
        <w:jc w:val="both"/>
      </w:pPr>
      <w:r>
        <w:rPr>
          <w:rFonts w:cs="Calibri" w:ascii="Cambria" w:hAnsi="Cambria"/>
          <w:color w:val="000000"/>
          <w:sz w:val="24"/>
          <w:szCs w:val="24"/>
        </w:rPr>
        <w:t>I.</w:t>
      </w:r>
      <w:r>
        <w:rPr>
          <w:rFonts w:cs="Calibri" w:ascii="Cambria" w:hAnsi="Cambria"/>
          <w:b/>
          <w:bCs/>
          <w:color w:val="000000"/>
          <w:sz w:val="24"/>
          <w:szCs w:val="24"/>
        </w:rPr>
        <w:t xml:space="preserve"> </w:t>
      </w:r>
      <w:r>
        <w:rPr>
          <w:rFonts w:cs="Calibri" w:ascii="Cambria" w:hAnsi="Cambria"/>
          <w:b/>
          <w:bCs/>
          <w:color w:val="000000"/>
          <w:sz w:val="24"/>
          <w:szCs w:val="24"/>
          <w:u w:val="single"/>
        </w:rPr>
        <w:t>Internal</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TableContents"/>
        <w:spacing w:lineRule="auto" w:line="240" w:before="0" w:after="283"/>
        <w:jc w:val="both"/>
      </w:pPr>
      <w:r>
        <w:rPr>
          <w:rFonts w:ascii="Cambria" w:hAnsi="Cambria"/>
          <w:b/>
          <w:bCs/>
          <w:color w:val="000000"/>
          <w:sz w:val="24"/>
          <w:szCs w:val="24"/>
        </w:rPr>
        <w:t xml:space="preserve">China's ship-breaking industry </w:t>
      </w:r>
      <w:r>
        <w:rPr>
          <w:rFonts w:ascii="Cambria" w:hAnsi="Cambria"/>
          <w:b/>
          <w:bCs/>
          <w:color w:val="000000"/>
          <w:sz w:val="24"/>
          <w:szCs w:val="24"/>
        </w:rPr>
        <w:t>under stress</w:t>
      </w:r>
      <w:r/>
    </w:p>
    <w:p>
      <w:pPr>
        <w:pStyle w:val="TableContents"/>
        <w:spacing w:lineRule="auto" w:line="240" w:before="0" w:after="283"/>
        <w:jc w:val="both"/>
      </w:pPr>
      <w:r>
        <w:rPr>
          <w:rFonts w:ascii="Cambria" w:hAnsi="Cambria"/>
          <w:color w:val="000000"/>
          <w:sz w:val="24"/>
          <w:szCs w:val="24"/>
        </w:rPr>
        <w:t>China's ship</w:t>
        <w:softHyphen/>
        <w:t xml:space="preserve">breaking industry is feeling </w:t>
      </w:r>
      <w:r>
        <w:rPr>
          <w:rFonts w:ascii="Cambria" w:hAnsi="Cambria"/>
          <w:color w:val="000000"/>
          <w:sz w:val="24"/>
          <w:szCs w:val="24"/>
        </w:rPr>
        <w:t xml:space="preserve">stressed down </w:t>
      </w:r>
      <w:r>
        <w:rPr>
          <w:rFonts w:ascii="Cambria" w:hAnsi="Cambria"/>
          <w:color w:val="000000"/>
          <w:sz w:val="24"/>
          <w:szCs w:val="24"/>
        </w:rPr>
        <w:t>by low steel prices, scrap oversupply and green production methods . The room for profit will continue to be squeezed this year by declining steel prices and the high cost of environment</w:t>
        <w:softHyphen/>
        <w:t>friendly ship</w:t>
        <w:softHyphen/>
        <w:t>breaking methods. Yet, pain will come despite favorable policies of the past three years to encourage higher ship</w:t>
        <w:softHyphen/>
        <w:t>breaking in response to overcapacity and sluggish global trade. The ship</w:t>
        <w:softHyphen/>
        <w:t xml:space="preserve">breaking industry supplies raw materials to infrastructure projects in a number of sectors such as hydropower, housing, bridge and railway construction, particularly in developing countries. </w:t>
      </w:r>
      <w:r/>
    </w:p>
    <w:p>
      <w:pPr>
        <w:pStyle w:val="TableContents"/>
        <w:spacing w:lineRule="auto" w:line="240" w:before="0" w:after="283"/>
        <w:jc w:val="both"/>
      </w:pPr>
      <w:r>
        <w:rPr>
          <w:rFonts w:ascii="Cambria" w:hAnsi="Cambria"/>
          <w:b/>
          <w:bCs/>
          <w:color w:val="000000"/>
          <w:sz w:val="24"/>
          <w:szCs w:val="24"/>
        </w:rPr>
        <w:t>China's insurance sector to expand on rising middle class, aging populatio</w:t>
      </w:r>
      <w:r>
        <w:rPr>
          <w:rFonts w:ascii="Cambria" w:hAnsi="Cambria"/>
          <w:b/>
          <w:bCs/>
          <w:color w:val="000000"/>
          <w:sz w:val="24"/>
          <w:szCs w:val="24"/>
        </w:rPr>
        <w:t>n</w:t>
      </w:r>
      <w:r>
        <w:rPr>
          <w:rFonts w:ascii="Cambria" w:hAnsi="Cambria"/>
          <w:color w:val="000000"/>
          <w:sz w:val="24"/>
          <w:szCs w:val="24"/>
        </w:rPr>
        <w:t xml:space="preserve"> </w:t>
      </w:r>
      <w:r/>
    </w:p>
    <w:p>
      <w:pPr>
        <w:pStyle w:val="TableContents"/>
        <w:spacing w:lineRule="auto" w:line="240" w:before="0" w:after="283"/>
        <w:jc w:val="both"/>
      </w:pPr>
      <w:r>
        <w:rPr>
          <w:rFonts w:ascii="Cambria" w:hAnsi="Cambria"/>
          <w:color w:val="000000"/>
          <w:sz w:val="24"/>
          <w:szCs w:val="24"/>
        </w:rPr>
        <w:t xml:space="preserve">China's insurance sector will continue to improve to meet demand from the swelling middle class and an aging population, the top insurance regulator said </w:t>
      </w:r>
      <w:r>
        <w:rPr>
          <w:rFonts w:ascii="Cambria" w:hAnsi="Cambria"/>
          <w:color w:val="000000"/>
          <w:sz w:val="24"/>
          <w:szCs w:val="24"/>
        </w:rPr>
        <w:t xml:space="preserve">on June 12, 2016 </w:t>
      </w:r>
      <w:r>
        <w:rPr>
          <w:rFonts w:ascii="Cambria" w:hAnsi="Cambria"/>
          <w:color w:val="000000"/>
          <w:sz w:val="24"/>
          <w:szCs w:val="24"/>
        </w:rPr>
        <w:t xml:space="preserve">at a forum in Shanghai. China's insurance sector saw its best performance in 2015 since the global financial crisis, with premium income reaching 2.4 trillion yuan (around $366 billion), said Xiang Junbo, chairman of China Insurance Regulatory Commission (CIRC), at Lujiazui Forum in Shanghai.  Xiang said insurance firms have been encouraged to invest in elderly care services, including senior care homes and reverse home mortgages. </w:t>
      </w:r>
      <w:r/>
    </w:p>
    <w:p>
      <w:pPr>
        <w:pStyle w:val="TableContents"/>
        <w:spacing w:lineRule="auto" w:line="240" w:before="0" w:after="283"/>
        <w:jc w:val="both"/>
      </w:pPr>
      <w:r>
        <w:rPr>
          <w:rFonts w:ascii="Cambria" w:hAnsi="Cambria"/>
          <w:b/>
          <w:bCs/>
          <w:color w:val="000000"/>
          <w:sz w:val="24"/>
          <w:szCs w:val="24"/>
        </w:rPr>
        <w:t>China opens Horgos railway port in Xinjiang</w:t>
      </w:r>
      <w:r>
        <w:rPr>
          <w:rFonts w:ascii="Cambria" w:hAnsi="Cambria"/>
          <w:color w:val="000000"/>
          <w:sz w:val="24"/>
          <w:szCs w:val="24"/>
        </w:rPr>
        <w:t xml:space="preserve"> </w:t>
      </w:r>
      <w:r/>
    </w:p>
    <w:p>
      <w:pPr>
        <w:pStyle w:val="TableContents"/>
        <w:spacing w:lineRule="auto" w:line="240" w:before="0" w:after="283"/>
        <w:jc w:val="both"/>
      </w:pPr>
      <w:r>
        <w:rPr>
          <w:rFonts w:ascii="Cambria" w:hAnsi="Cambria"/>
          <w:color w:val="000000"/>
          <w:sz w:val="24"/>
          <w:szCs w:val="24"/>
        </w:rPr>
        <w:t xml:space="preserve">The railway port of Horgos in Northwest China's Xinjiang Uygur autonomous region, which borders Kazakhstan, was officially opened </w:t>
      </w:r>
      <w:r>
        <w:rPr>
          <w:rFonts w:ascii="Cambria" w:hAnsi="Cambria"/>
          <w:color w:val="000000"/>
          <w:sz w:val="24"/>
          <w:szCs w:val="24"/>
        </w:rPr>
        <w:t>June 14, 2016.</w:t>
      </w:r>
      <w:r>
        <w:rPr>
          <w:rFonts w:ascii="Cambria" w:hAnsi="Cambria"/>
          <w:color w:val="000000"/>
          <w:sz w:val="24"/>
          <w:szCs w:val="24"/>
        </w:rPr>
        <w:t xml:space="preserve"> Horgos railway port began a restricted</w:t>
        <w:softHyphen/>
        <w:t>operating period in 2012. From December 2012, when a cross</w:t>
        <w:softHyphen/>
        <w:t xml:space="preserve">border railway between China and Kazakhstan via Horgos opened. </w:t>
      </w:r>
      <w:r>
        <w:rPr>
          <w:rFonts w:ascii="Cambria" w:hAnsi="Cambria"/>
          <w:color w:val="000000"/>
          <w:sz w:val="24"/>
          <w:szCs w:val="24"/>
        </w:rPr>
        <w:t>U</w:t>
      </w:r>
      <w:r>
        <w:rPr>
          <w:rFonts w:ascii="Cambria" w:hAnsi="Cambria"/>
          <w:color w:val="000000"/>
          <w:sz w:val="24"/>
          <w:szCs w:val="24"/>
        </w:rPr>
        <w:t>ntil April 2016, the import and export trade volume via the railway port of Horgos totaled $4 billion.</w:t>
      </w:r>
      <w:r/>
    </w:p>
    <w:p>
      <w:pPr>
        <w:pStyle w:val="TextBody"/>
        <w:spacing w:lineRule="auto" w:line="240" w:before="0" w:after="283"/>
        <w:jc w:val="both"/>
        <w:rPr>
          <w:smallCaps w:val="false"/>
          <w:caps w:val="false"/>
          <w:sz w:val="24"/>
          <w:spacing w:val="0"/>
          <w:i w:val="false"/>
          <w:b/>
          <w:sz w:val="24"/>
          <w:szCs w:val="24"/>
          <w:rFonts w:ascii="Cambria" w:hAnsi="Cambria" w:eastAsia="宋体" w:cs="DejaVu Sans"/>
          <w:color w:val="000000"/>
          <w:lang w:val="en-US" w:eastAsia="en-US" w:bidi="ar-SA"/>
        </w:rPr>
      </w:pPr>
      <w:bookmarkStart w:id="3" w:name="__DdeLink__420_1162134082"/>
      <w:bookmarkEnd w:id="3"/>
      <w:r>
        <w:rPr>
          <w:rFonts w:ascii="Cambria" w:hAnsi="Cambria"/>
          <w:b/>
          <w:i w:val="false"/>
          <w:caps w:val="false"/>
          <w:smallCaps w:val="false"/>
          <w:color w:val="000000"/>
          <w:spacing w:val="0"/>
          <w:sz w:val="24"/>
          <w:szCs w:val="24"/>
        </w:rPr>
        <w:t>China's TV shopping sales up 13 pct in 2015</w:t>
      </w:r>
      <w:r/>
    </w:p>
    <w:p>
      <w:pPr>
        <w:pStyle w:val="TextBody"/>
        <w:spacing w:lineRule="auto" w:line="240" w:before="0" w:after="283"/>
        <w:jc w:val="both"/>
      </w:pPr>
      <w:r>
        <w:rPr>
          <w:rFonts w:ascii="Cambria" w:hAnsi="Cambria"/>
          <w:b w:val="false"/>
          <w:i w:val="false"/>
          <w:caps w:val="false"/>
          <w:smallCaps w:val="false"/>
          <w:color w:val="000000"/>
          <w:spacing w:val="0"/>
          <w:sz w:val="24"/>
          <w:szCs w:val="24"/>
        </w:rPr>
        <w:t>TV shopping in China grew 13 percent in 2015, according to a report issued by the Ministry of Commerce. Sales by 32 TV shopping companies reached 39.9 billion yuan (6 billion U.S. dollars) last year and grew at 2.3 percentage points more than general retail sales. TV shopping industry also played a constructive role in generating jobs, with the number of employees standing at 166,000 last year. TV shopping sales are expected to expand by 15 percent to 46 billion yuan in 2016, according to the report.</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spacing w:lineRule="auto" w:line="240"/>
        <w:jc w:val="both"/>
      </w:pPr>
      <w:r>
        <w:rPr>
          <w:rFonts w:cs="Calibri" w:ascii="Cambria" w:hAnsi="Cambria"/>
          <w:color w:val="000000"/>
          <w:sz w:val="24"/>
          <w:szCs w:val="24"/>
        </w:rPr>
        <w:t>III.</w:t>
      </w:r>
      <w:r>
        <w:rPr>
          <w:rFonts w:cs="Calibri" w:ascii="Cambria" w:hAnsi="Cambria"/>
          <w:b/>
          <w:bCs/>
          <w:color w:val="000000"/>
          <w:sz w:val="24"/>
          <w:szCs w:val="24"/>
          <w:u w:val="single"/>
        </w:rPr>
        <w:t xml:space="preserve"> Industry and Companies</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TextBody"/>
        <w:widowControl/>
        <w:spacing w:lineRule="auto" w:line="240"/>
        <w:ind w:left="0" w:right="0" w:hanging="0"/>
        <w:jc w:val="both"/>
      </w:pPr>
      <w:r>
        <w:rPr>
          <w:rFonts w:ascii="Cambria" w:hAnsi="Cambria"/>
          <w:b/>
          <w:bCs/>
          <w:color w:val="000000"/>
          <w:sz w:val="24"/>
          <w:szCs w:val="24"/>
        </w:rPr>
        <w:t>China Three Gorges to buy German wind park Meerwind from Blackstone</w:t>
      </w:r>
      <w:r>
        <w:rPr>
          <w:rFonts w:ascii="Cambria" w:hAnsi="Cambria"/>
          <w:color w:val="000000"/>
          <w:sz w:val="24"/>
          <w:szCs w:val="24"/>
        </w:rPr>
        <w:t xml:space="preserve"> </w:t>
      </w:r>
      <w:r/>
    </w:p>
    <w:p>
      <w:pPr>
        <w:pStyle w:val="TextBody"/>
        <w:widowControl/>
        <w:spacing w:lineRule="auto" w:line="240"/>
        <w:ind w:left="0" w:right="0" w:hanging="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t xml:space="preserve">China Three Gorges, which operates the world's largest hydropower plant on China's Yangtze river, will buy German offshore wind park Meerwind from US buyout firm Blackstone, the companies said on June 13, 2016. The terms of the sale were not disclosed but people familiar with the process said they expected it to be valued at around 1.6 billion euros ($1.8 billion).  </w:t>
      </w:r>
      <w:r/>
    </w:p>
    <w:p>
      <w:pPr>
        <w:pStyle w:val="TextBody"/>
        <w:widowControl/>
        <w:spacing w:lineRule="auto" w:line="240"/>
        <w:ind w:left="0" w:right="0" w:hanging="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TextBody"/>
        <w:widowControl/>
        <w:spacing w:lineRule="auto" w:line="240"/>
        <w:ind w:left="0" w:right="0" w:hanging="0"/>
        <w:jc w:val="both"/>
      </w:pPr>
      <w:r>
        <w:rPr>
          <w:rFonts w:eastAsia="宋体" w:cs="DejaVu Sans" w:ascii="Cambria" w:hAnsi="Cambria"/>
          <w:b/>
          <w:bCs/>
          <w:color w:val="000000"/>
          <w:sz w:val="24"/>
          <w:szCs w:val="24"/>
          <w:lang w:val="en-US" w:eastAsia="en-US" w:bidi="ar-SA"/>
        </w:rPr>
        <w:t>Microsoft to buy LinkedIn for $26.2b</w:t>
      </w:r>
      <w:r>
        <w:rPr>
          <w:rFonts w:eastAsia="宋体" w:cs="DejaVu Sans" w:ascii="Cambria" w:hAnsi="Cambria"/>
          <w:color w:val="000000"/>
          <w:sz w:val="24"/>
          <w:szCs w:val="24"/>
          <w:lang w:val="en-US" w:eastAsia="en-US" w:bidi="ar-SA"/>
        </w:rPr>
        <w:t xml:space="preserve"> </w:t>
      </w:r>
      <w:r/>
    </w:p>
    <w:p>
      <w:pPr>
        <w:pStyle w:val="TextBody"/>
        <w:widowControl/>
        <w:spacing w:lineRule="auto" w:line="240"/>
        <w:ind w:left="0" w:right="0" w:hanging="0"/>
        <w:jc w:val="both"/>
      </w:pPr>
      <w:r>
        <w:rPr>
          <w:rFonts w:eastAsia="宋体" w:cs="DejaVu Sans" w:ascii="Cambria" w:hAnsi="Cambria"/>
          <w:color w:val="000000"/>
          <w:sz w:val="24"/>
          <w:szCs w:val="24"/>
          <w:lang w:val="en-US" w:eastAsia="en-US" w:bidi="ar-SA"/>
        </w:rPr>
        <w:t>Microsoft Corp agreed to buy LinkedIn Corp for $26.2 billion in its biggest</w:t>
        <w:softHyphen/>
        <w:t>ever deal, combining the software giant's fast</w:t>
        <w:softHyphen/>
        <w:t xml:space="preserve">growing cloud services business with the world's largest online network for professionals. The offer of $196 per share represents a premium of 49.5 percent to LinkedIn's Friday closing price. LinkedIn's shares were jumped 48 percent to $194.28 before the opening bell on </w:t>
      </w:r>
      <w:r>
        <w:rPr>
          <w:rFonts w:eastAsia="宋体" w:cs="DejaVu Sans" w:ascii="Cambria" w:hAnsi="Cambria"/>
          <w:color w:val="000000"/>
          <w:sz w:val="24"/>
          <w:szCs w:val="24"/>
          <w:lang w:val="en-US" w:eastAsia="en-US" w:bidi="ar-SA"/>
        </w:rPr>
        <w:t>June 13, 2016</w:t>
      </w:r>
      <w:r>
        <w:rPr>
          <w:rFonts w:eastAsia="宋体" w:cs="DejaVu Sans" w:ascii="Cambria" w:hAnsi="Cambria"/>
          <w:color w:val="000000"/>
          <w:sz w:val="24"/>
          <w:szCs w:val="24"/>
          <w:lang w:val="en-US" w:eastAsia="en-US" w:bidi="ar-SA"/>
        </w:rPr>
        <w:t xml:space="preserve"> Microsoft's shares were down 3.3 percent. </w:t>
      </w:r>
      <w:r/>
    </w:p>
    <w:p>
      <w:pPr>
        <w:pStyle w:val="TextBody"/>
        <w:widowControl/>
        <w:spacing w:lineRule="auto" w:line="240"/>
        <w:ind w:left="0" w:right="0" w:hanging="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TextBody"/>
        <w:widowControl/>
        <w:spacing w:lineRule="auto" w:line="240" w:before="0" w:after="288"/>
        <w:ind w:left="0" w:right="0" w:hanging="0"/>
        <w:jc w:val="both"/>
      </w:pPr>
      <w:r>
        <w:rPr>
          <w:rFonts w:eastAsia="宋体" w:cs="DejaVu Sans" w:ascii="Cambria" w:hAnsi="Cambria"/>
          <w:b/>
          <w:bCs/>
          <w:color w:val="000000"/>
          <w:sz w:val="24"/>
          <w:szCs w:val="24"/>
          <w:lang w:val="en-US" w:eastAsia="en-US" w:bidi="ar-SA"/>
        </w:rPr>
        <w:t>Bank of Beijing to invest in tech startups for high growth</w:t>
      </w:r>
      <w:r>
        <w:rPr>
          <w:rFonts w:eastAsia="宋体" w:cs="DejaVu Sans" w:ascii="Cambria" w:hAnsi="Cambria"/>
          <w:color w:val="000000"/>
          <w:sz w:val="24"/>
          <w:szCs w:val="24"/>
          <w:lang w:val="en-US" w:eastAsia="en-US" w:bidi="ar-SA"/>
        </w:rPr>
        <w:t xml:space="preserve"> </w:t>
      </w:r>
      <w:r/>
    </w:p>
    <w:p>
      <w:pPr>
        <w:pStyle w:val="TextBody"/>
        <w:widowControl/>
        <w:spacing w:lineRule="auto" w:line="240" w:before="0" w:after="288"/>
        <w:ind w:left="0" w:right="0" w:hanging="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t xml:space="preserve">Bank of Beijing Co Ltd is preparing to launch an investment subsidiary to invest in technology companies with potential for high growth, as well as lending to startups. The move follows the Bank of Beijing's selection by the China Banking Regulatory Commission as one of the first batch of 10 banks to participate in a pilot program to establish an "investment and loan linkage mechanism" for qualified technology startups.     </w:t>
      </w:r>
      <w:r/>
    </w:p>
    <w:p>
      <w:pPr>
        <w:pStyle w:val="TextBody"/>
        <w:widowControl/>
        <w:spacing w:lineRule="auto" w:line="240" w:before="0" w:after="0"/>
        <w:ind w:left="0" w:right="0" w:hanging="0"/>
        <w:jc w:val="both"/>
      </w:pPr>
      <w:bookmarkStart w:id="4" w:name="__DdeLink__421_1162134082"/>
      <w:bookmarkEnd w:id="4"/>
      <w:r>
        <w:rPr>
          <w:rFonts w:eastAsia="宋体" w:cs="DejaVu Sans" w:ascii="Cambria" w:hAnsi="Cambria"/>
          <w:b/>
          <w:bCs/>
          <w:color w:val="000000"/>
          <w:sz w:val="24"/>
          <w:szCs w:val="24"/>
          <w:lang w:val="en-US" w:eastAsia="en-US" w:bidi="ar-SA"/>
        </w:rPr>
        <w:t xml:space="preserve">Merger of China Shipbuilding's two units to improve efficiency </w:t>
      </w:r>
      <w:r/>
    </w:p>
    <w:p>
      <w:pPr>
        <w:pStyle w:val="TextBody"/>
        <w:widowControl/>
        <w:spacing w:lineRule="auto" w:line="240" w:before="0" w:after="0"/>
        <w:ind w:left="0" w:right="0" w:hanging="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TextBody"/>
        <w:widowControl/>
        <w:spacing w:lineRule="auto" w:line="240" w:before="0" w:after="0"/>
        <w:ind w:left="0" w:right="0" w:hanging="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t>State</w:t>
        <w:softHyphen/>
        <w:t>owned China Shipbuilding Industry Corp or CSIC, the primary contractor for China's naval force, is transferring the assets of its subsidiary Qingdao Beihai Shipbuilding Heavy Industry Co to Wuchang Shipbuilding Industry Group Co, another of its subsidiaries, to enlarge the latter's capacity in building both military and commercial vessels. The Hubei</w:t>
        <w:softHyphen/>
        <w:t>based Wuchang Shipbuilding is one of China's manufacturing bases to build conventional submarines and frigates, as well as maritime defense equipment and law</w:t>
        <w:softHyphen/>
        <w:t xml:space="preserve">enforcement vessels. </w:t>
      </w:r>
      <w:r/>
    </w:p>
    <w:p>
      <w:pPr>
        <w:pStyle w:val="TextBody"/>
        <w:widowControl/>
        <w:spacing w:lineRule="auto" w:line="240"/>
        <w:ind w:left="0" w:right="0" w:hanging="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cs="Calibri" w:ascii="Cambria" w:hAnsi="Cambria"/>
          <w:color w:val="000000"/>
          <w:sz w:val="24"/>
          <w:szCs w:val="24"/>
        </w:rPr>
        <w:t xml:space="preserve">IV. </w:t>
      </w:r>
      <w:r>
        <w:rPr>
          <w:rFonts w:cs="Calibri" w:ascii="Cambria" w:hAnsi="Cambria"/>
          <w:b/>
          <w:bCs/>
          <w:color w:val="000000"/>
          <w:sz w:val="24"/>
          <w:szCs w:val="24"/>
          <w:u w:val="single"/>
        </w:rPr>
        <w:t>Statistics and Figures</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spacing w:lineRule="auto" w:line="240"/>
        <w:jc w:val="both"/>
      </w:pPr>
      <w:r>
        <w:rPr>
          <w:rFonts w:eastAsia="宋体" w:cs="DejaVu Sans" w:ascii="Cambria" w:hAnsi="Cambria"/>
          <w:b/>
          <w:bCs/>
          <w:color w:val="000000"/>
          <w:sz w:val="24"/>
          <w:szCs w:val="24"/>
          <w:lang w:val="en-US" w:eastAsia="en-US" w:bidi="ar-SA"/>
        </w:rPr>
        <w:t xml:space="preserve">China's electricity consumption </w:t>
      </w:r>
      <w:r>
        <w:rPr>
          <w:rFonts w:eastAsia="宋体" w:cs="DejaVu Sans" w:ascii="Cambria" w:hAnsi="Cambria"/>
          <w:b/>
          <w:bCs/>
          <w:color w:val="000000"/>
          <w:sz w:val="24"/>
          <w:szCs w:val="24"/>
          <w:lang w:val="en-US" w:eastAsia="en-US" w:bidi="ar-SA"/>
        </w:rPr>
        <w:t>increases</w:t>
      </w:r>
      <w:r>
        <w:rPr>
          <w:rFonts w:eastAsia="宋体" w:cs="DejaVu Sans" w:ascii="Cambria" w:hAnsi="Cambria"/>
          <w:b/>
          <w:bCs/>
          <w:color w:val="000000"/>
          <w:sz w:val="24"/>
          <w:szCs w:val="24"/>
          <w:lang w:val="en-US" w:eastAsia="en-US" w:bidi="ar-SA"/>
        </w:rPr>
        <w:t xml:space="preserve"> in May</w:t>
      </w:r>
      <w:r>
        <w:rPr>
          <w:rFonts w:eastAsia="宋体" w:cs="DejaVu Sans" w:ascii="Cambria" w:hAnsi="Cambria"/>
          <w:color w:val="000000"/>
          <w:sz w:val="24"/>
          <w:szCs w:val="24"/>
          <w:lang w:val="en-US" w:eastAsia="en-US" w:bidi="ar-SA"/>
        </w:rPr>
        <w:t xml:space="preserve"> </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eastAsia="宋体" w:cs="DejaVu Sans" w:ascii="Cambria" w:hAnsi="Cambria"/>
          <w:color w:val="000000"/>
          <w:sz w:val="24"/>
          <w:szCs w:val="24"/>
          <w:lang w:val="en-US" w:eastAsia="en-US" w:bidi="ar-SA"/>
        </w:rPr>
        <w:t>China's use of electricity rose 2.1 percent in May, 2016 from the previous year, up from the 1.9 percent growth registered in April, official data showed June 14, 2016. Electricity consumption totaled 473 billion kilowatt hours last month. In the first five months, electricity consumption increased 2.7 percent year on year to 2.3 trillion kilowatt hours, the commission said.</w:t>
      </w:r>
      <w:r/>
    </w:p>
    <w:p>
      <w:pPr>
        <w:pStyle w:val="Normal"/>
        <w:spacing w:lineRule="auto" w:line="240"/>
        <w:jc w:val="both"/>
        <w:rPr>
          <w:rFonts w:eastAsia="宋体" w:cs="DejaVu Sans"/>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 xml:space="preserve">China's fiscal revenue rises 7.3% in May </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t>China's fiscal revenue rose 7.3 percent year on year to 1.546 trillion yuan ($234.8 billion) in May, data from the Ministry of Finance showed. The revenue growth was down from the 14.4</w:t>
        <w:softHyphen/>
        <w:t>percent gain posted for April. The central government collected 756.9 billion yuan in fiscal revenue, down 2.2 percent year on year, while local governments saw fiscal revenue expand 18.3 percent to 789.2 billion yuan.</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China's exports rise, imports rebound in May</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ascii="Cambria" w:hAnsi="Cambria"/>
          <w:color w:val="000000"/>
          <w:sz w:val="24"/>
          <w:szCs w:val="24"/>
        </w:rPr>
        <w:t xml:space="preserve">China's export growth in yuan-denominated terms slowed to 1.2 percent year on year in May from 4.1 percent in April, </w:t>
      </w:r>
      <w:r>
        <w:rPr>
          <w:rFonts w:ascii="Cambria" w:hAnsi="Cambria"/>
          <w:color w:val="000000"/>
          <w:sz w:val="24"/>
          <w:szCs w:val="24"/>
        </w:rPr>
        <w:t xml:space="preserve">according to </w:t>
      </w:r>
      <w:r>
        <w:rPr>
          <w:rFonts w:ascii="Cambria" w:hAnsi="Cambria"/>
          <w:color w:val="000000"/>
          <w:sz w:val="24"/>
          <w:szCs w:val="24"/>
        </w:rPr>
        <w:t>customs data. Imports grew 5.1 percent, significantly rebounding from a 5.7</w:t>
        <w:softHyphen/>
        <w:t xml:space="preserve">percent decline in April, according to figures from the General Administration of Customs (GAC). Trade surplus last month was 324.8 billion yuan ($50 billion), up from April's 298 billion yuan. </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 xml:space="preserve">China's property investment slightly </w:t>
      </w:r>
      <w:r>
        <w:rPr>
          <w:rFonts w:ascii="Cambria" w:hAnsi="Cambria"/>
          <w:b/>
          <w:bCs/>
          <w:color w:val="000000"/>
          <w:sz w:val="24"/>
          <w:szCs w:val="24"/>
        </w:rPr>
        <w:t>slows down, while sales increased</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宋体" w:cs="DejaVu Sans"/>
          <w:color w:val="000000"/>
          <w:lang w:val="en-US" w:eastAsia="en-US" w:bidi="ar-SA"/>
        </w:rPr>
      </w:pPr>
      <w:bookmarkStart w:id="5" w:name="__DdeLink__426_1162134082"/>
      <w:bookmarkStart w:id="6" w:name="__DdeLink__426_1162134082"/>
      <w:bookmarkEnd w:id="6"/>
      <w:r>
        <w:rPr>
          <w:rFonts w:ascii="Cambria" w:hAnsi="Cambria"/>
          <w:color w:val="000000"/>
          <w:sz w:val="24"/>
          <w:szCs w:val="24"/>
        </w:rPr>
      </w:r>
      <w:r/>
    </w:p>
    <w:p>
      <w:pPr>
        <w:pStyle w:val="Normal"/>
        <w:spacing w:lineRule="auto" w:line="240"/>
        <w:jc w:val="both"/>
      </w:pPr>
      <w:r>
        <w:rPr>
          <w:rFonts w:ascii="Cambria" w:hAnsi="Cambria"/>
          <w:color w:val="000000"/>
          <w:sz w:val="24"/>
          <w:szCs w:val="24"/>
        </w:rPr>
        <w:t xml:space="preserve">Growth in China's real estate investment slightly cooled in the first five months of the year, while property sales continued to boom, official data showed </w:t>
      </w:r>
      <w:r>
        <w:rPr>
          <w:rFonts w:ascii="Cambria" w:hAnsi="Cambria"/>
          <w:color w:val="000000"/>
          <w:sz w:val="24"/>
          <w:szCs w:val="24"/>
        </w:rPr>
        <w:t>June 13, 2016</w:t>
      </w:r>
      <w:r>
        <w:rPr>
          <w:rFonts w:ascii="Cambria" w:hAnsi="Cambria"/>
          <w:color w:val="000000"/>
          <w:sz w:val="24"/>
          <w:szCs w:val="24"/>
        </w:rPr>
        <w:t>. Growth in property investment from January to May slowed to 7 percent, following a 7.2</w:t>
        <w:softHyphen/>
        <w:t xml:space="preserve">percent gain posted for the first four months, according to the National Bureau of Statistics (NBS). </w:t>
      </w:r>
      <w:r>
        <w:rPr>
          <w:rFonts w:ascii="Cambria" w:hAnsi="Cambria"/>
          <w:color w:val="000000"/>
          <w:sz w:val="24"/>
          <w:szCs w:val="24"/>
        </w:rPr>
        <w:t>P</w:t>
      </w:r>
      <w:r>
        <w:rPr>
          <w:rFonts w:ascii="Cambria" w:hAnsi="Cambria"/>
          <w:color w:val="000000"/>
          <w:sz w:val="24"/>
          <w:szCs w:val="24"/>
        </w:rPr>
        <w:t>roperty sales from January to May were positive. In floor terms, property sales jumped 33.2 percent in the first five months, slightly lower than the 36.5</w:t>
        <w:softHyphen/>
        <w:t xml:space="preserve">percent gain in the first four months. </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宋体" w:cs="DejaVu Sans"/>
          <w:color w:val="000000"/>
          <w:lang w:val="en-US" w:eastAsia="en-US" w:bidi="ar-SA"/>
        </w:rPr>
      </w:pPr>
      <w:r>
        <w:rPr>
          <w:rFonts w:eastAsia="宋体" w:cs="DejaVu Sans" w:ascii="Cambria" w:hAnsi="Cambria"/>
          <w:color w:val="000000"/>
          <w:sz w:val="24"/>
          <w:szCs w:val="24"/>
          <w:lang w:val="en-US" w:eastAsia="en-US" w:bidi="ar-SA"/>
        </w:rPr>
      </w:r>
      <w:r/>
    </w:p>
    <w:p>
      <w:pPr>
        <w:pStyle w:val="Normal"/>
        <w:spacing w:lineRule="auto" w:line="240"/>
        <w:jc w:val="both"/>
      </w:pPr>
      <w:r>
        <w:rPr>
          <w:rFonts w:cs="Calibri" w:ascii="Cambria" w:hAnsi="Cambria"/>
          <w:b/>
          <w:color w:val="000000"/>
          <w:sz w:val="24"/>
          <w:szCs w:val="24"/>
        </w:rPr>
        <w:t>(J.Rocheus Sukanya)</w:t>
      </w:r>
      <w:r/>
    </w:p>
    <w:p>
      <w:pPr>
        <w:pStyle w:val="Normal"/>
        <w:spacing w:lineRule="auto" w:line="240"/>
        <w:jc w:val="both"/>
        <w:rPr>
          <w:sz w:val="24"/>
          <w:b/>
          <w:sz w:val="24"/>
          <w:b/>
          <w:szCs w:val="24"/>
          <w:rFonts w:ascii="Calibri" w:hAnsi="Calibri" w:eastAsia="宋体" w:cs="Calibri"/>
          <w:color w:val="000000"/>
          <w:lang w:val="en-US" w:eastAsia="en-US" w:bidi="ar-SA"/>
        </w:rPr>
      </w:pPr>
      <w:r>
        <w:rPr>
          <w:rFonts w:cs="Calibri" w:ascii="Cambria" w:hAnsi="Cambria"/>
          <w:b/>
          <w:color w:val="000000"/>
          <w:sz w:val="24"/>
          <w:szCs w:val="24"/>
        </w:rPr>
        <w:t>Third Secretary (LT)</w:t>
      </w:r>
      <w:r/>
    </w:p>
    <w:p>
      <w:pPr>
        <w:pStyle w:val="Normal"/>
        <w:spacing w:lineRule="auto" w:line="240"/>
        <w:jc w:val="both"/>
      </w:pPr>
      <w:r>
        <w:rPr>
          <w:rFonts w:cs="Calibri" w:ascii="Cambria" w:hAnsi="Cambria"/>
          <w:b/>
          <w:color w:val="000000"/>
          <w:sz w:val="24"/>
          <w:szCs w:val="24"/>
          <w:lang w:eastAsia="zh-CN"/>
        </w:rPr>
        <w:t>1</w:t>
      </w:r>
      <w:r>
        <w:rPr>
          <w:rFonts w:cs="Calibri" w:ascii="Cambria" w:hAnsi="Cambria"/>
          <w:b/>
          <w:color w:val="000000"/>
          <w:sz w:val="24"/>
          <w:szCs w:val="24"/>
          <w:lang w:eastAsia="zh-CN"/>
        </w:rPr>
        <w:t>4</w:t>
      </w:r>
      <w:r>
        <w:rPr>
          <w:rFonts w:cs="Calibri" w:ascii="Cambria" w:hAnsi="Cambria"/>
          <w:b/>
          <w:color w:val="000000"/>
          <w:sz w:val="24"/>
          <w:szCs w:val="24"/>
        </w:rPr>
        <w:t>.0</w:t>
      </w:r>
      <w:r>
        <w:rPr>
          <w:rFonts w:cs="Calibri" w:ascii="Cambria" w:hAnsi="Cambria"/>
          <w:b/>
          <w:color w:val="000000"/>
          <w:sz w:val="24"/>
          <w:szCs w:val="24"/>
          <w:lang w:eastAsia="zh-CN"/>
        </w:rPr>
        <w:t>6</w:t>
      </w:r>
      <w:r>
        <w:rPr>
          <w:rFonts w:cs="Calibri" w:ascii="Cambria" w:hAnsi="Cambria"/>
          <w:b/>
          <w:color w:val="000000"/>
          <w:sz w:val="24"/>
          <w:szCs w:val="24"/>
        </w:rPr>
        <w:t>.2016</w:t>
      </w:r>
      <w:r/>
    </w:p>
    <w:p>
      <w:pPr>
        <w:pStyle w:val="Normal"/>
        <w:spacing w:lineRule="auto" w:line="240"/>
        <w:jc w:val="both"/>
        <w:rPr>
          <w:sz w:val="24"/>
          <w:sz w:val="24"/>
          <w:szCs w:val="24"/>
          <w:rFonts w:ascii="Cambria" w:hAnsi="Cambria" w:eastAsia="宋体" w:cs="DejaVu Sans"/>
          <w:color w:val="000000"/>
          <w:lang w:val="en-US" w:eastAsia="en-US" w:bidi="ar-SA"/>
        </w:rPr>
      </w:pPr>
      <w:r>
        <w:rPr>
          <w:rFonts w:ascii="Cambria" w:hAnsi="Cambria"/>
          <w:color w:val="000000"/>
          <w:sz w:val="24"/>
          <w:szCs w:val="24"/>
        </w:rPr>
      </w:r>
      <w:r/>
    </w:p>
    <w:sectPr>
      <w:headerReference w:type="default" r:id="rId2"/>
      <w:footerReference w:type="default" r:id="rId3"/>
      <w:type w:val="nextPage"/>
      <w:pgSz w:w="12240" w:h="15840"/>
      <w:pgMar w:left="1701" w:right="1800" w:header="720" w:top="777"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variable"/>
  </w:font>
  <w:font w:name="Helvetica">
    <w:altName w:val="Arial"/>
    <w:charset w:val="01"/>
    <w:family w:val="roman"/>
    <w:pitch w:val="variable"/>
  </w:font>
  <w:font w:name="Cambria">
    <w:charset w:val="01"/>
    <w:family w:val="roman"/>
    <w:pitch w:val="default"/>
  </w:font>
  <w:font w:name="Calibri">
    <w:charset w:val="01"/>
    <w:family w:val="roman"/>
    <w:pitch w:val="variable"/>
  </w:font>
  <w:font w:name="Symbol">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700" w:type="pct"/>
      <w:jc w:val="left"/>
      <w:tblInd w:w="-1452" w:type="dxa"/>
      <w:tblBorders>
        <w:top w:val="thinThickLargeGap" w:sz="24" w:space="0" w:color="548DD4"/>
        <w:left w:val="thinThickLargeGap" w:sz="24" w:space="0" w:color="548DD4"/>
        <w:bottom w:val="thickThinLargeGap" w:sz="24" w:space="0" w:color="548DD4"/>
        <w:insideH w:val="thickThinLargeGap" w:sz="24" w:space="0" w:color="548DD4"/>
      </w:tblBorders>
      <w:tblCellMar>
        <w:top w:w="0" w:type="dxa"/>
        <w:left w:w="-52" w:type="dxa"/>
        <w:bottom w:w="0" w:type="dxa"/>
        <w:right w:w="108" w:type="dxa"/>
      </w:tblCellMar>
    </w:tblPr>
    <w:tblGrid>
      <w:gridCol w:w="7728"/>
      <w:gridCol w:w="485"/>
    </w:tblGrid>
    <w:tr>
      <w:trPr>
        <w:trHeight w:val="345" w:hRule="atLeast"/>
      </w:trPr>
      <w:tc>
        <w:tcPr>
          <w:tcW w:w="7728" w:type="dxa"/>
          <w:tcBorders>
            <w:top w:val="thinThickLargeGap" w:sz="24" w:space="0" w:color="548DD4"/>
            <w:left w:val="thinThickLargeGap" w:sz="24" w:space="0" w:color="548DD4"/>
            <w:bottom w:val="thickThinLargeGap" w:sz="24" w:space="0" w:color="548DD4"/>
            <w:insideH w:val="thickThinLargeGap" w:sz="24" w:space="0" w:color="548DD4"/>
          </w:tcBorders>
          <w:shd w:fill="95B3D7" w:val="clear"/>
          <w:tcMar>
            <w:left w:w="-52" w:type="dxa"/>
          </w:tcMar>
          <w:vAlign w:val="center"/>
        </w:tcPr>
        <w:p>
          <w:pPr>
            <w:pStyle w:val="Normal"/>
            <w:widowControl w:val="false"/>
            <w:spacing w:before="0" w:after="240"/>
            <w:jc w:val="right"/>
          </w:pPr>
          <w:r>
            <w:rPr>
              <w:rFonts w:cs="Times" w:ascii="Times" w:hAnsi="Times"/>
            </w:rPr>
            <w:t xml:space="preserve">[TRADE &amp; COMMERCE WING, EMBASSY OF INDIA, BEIJING </w:t>
          </w:r>
          <w:r>
            <w:rPr>
              <w:rFonts w:cs="Calibri" w:ascii="Calibri" w:hAnsi="Calibri"/>
              <w:sz w:val="30"/>
              <w:szCs w:val="30"/>
            </w:rPr>
            <w:t>|</w:t>
          </w:r>
          <w:r/>
        </w:p>
      </w:tc>
      <w:tc>
        <w:tcPr>
          <w:tcW w:w="485" w:type="dxa"/>
          <w:tcBorders>
            <w:top w:val="thinThickLargeGap" w:sz="24" w:space="0" w:color="548DD4"/>
            <w:left w:val="thickThinLargeGap" w:sz="24" w:space="0" w:color="548DD4"/>
            <w:bottom w:val="thickThinLargeGap" w:sz="24" w:space="0" w:color="548DD4"/>
            <w:right w:val="thickThinLargeGap" w:sz="24" w:space="0" w:color="548DD4"/>
            <w:insideH w:val="thickThinLargeGap" w:sz="24" w:space="0" w:color="548DD4"/>
            <w:insideV w:val="thickThinLargeGap" w:sz="24" w:space="0" w:color="548DD4"/>
          </w:tcBorders>
          <w:shd w:fill="548DD4" w:val="clear"/>
          <w:tcMar>
            <w:left w:w="-52" w:type="dxa"/>
          </w:tcMar>
        </w:tcPr>
        <w:p>
          <w:pPr>
            <w:pStyle w:val="Header"/>
          </w:pPr>
          <w:r>
            <w:rPr/>
            <w:fldChar w:fldCharType="begin"/>
          </w:r>
          <w:r>
            <w:instrText> PAGE </w:instrText>
          </w:r>
          <w:r>
            <w:fldChar w:fldCharType="separate"/>
          </w:r>
          <w:r>
            <w:t>6</w:t>
          </w:r>
          <w:r>
            <w:fldChar w:fldCharType="end"/>
          </w:r>
          <w:r/>
        </w:p>
      </w:tc>
    </w:tr>
  </w:tbl>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right w:val="single" w:sz="18" w:space="0" w:color="4F81BD"/>
        <w:insideV w:val="single" w:sz="18" w:space="0" w:color="4F81BD"/>
      </w:tblBorders>
      <w:tblCellMar>
        <w:top w:w="58" w:type="dxa"/>
        <w:left w:w="115" w:type="dxa"/>
        <w:bottom w:w="58" w:type="dxa"/>
        <w:right w:w="115" w:type="dxa"/>
      </w:tblCellMar>
    </w:tblPr>
    <w:tblGrid>
      <w:gridCol w:w="6329"/>
      <w:gridCol w:w="2409"/>
    </w:tblGrid>
    <w:tr>
      <w:trPr/>
      <w:tc>
        <w:tcPr>
          <w:tcW w:w="6329" w:type="dxa"/>
          <w:tcBorders>
            <w:right w:val="single" w:sz="18" w:space="0" w:color="4F81BD"/>
            <w:insideV w:val="single" w:sz="18" w:space="0" w:color="4F81BD"/>
          </w:tcBorders>
          <w:shd w:fill="FFFFFF" w:val="clear"/>
        </w:tcPr>
        <w:p>
          <w:pPr>
            <w:pStyle w:val="Header"/>
            <w:rPr>
              <w:sz w:val="24"/>
              <w:b/>
              <w:sz w:val="24"/>
              <w:b/>
              <w:szCs w:val="24"/>
              <w:rFonts w:ascii="Calibri" w:hAnsi="Calibri" w:eastAsia="宋体" w:cs="DejaVu Sans"/>
              <w:color w:val="943634"/>
              <w:lang w:val="en-US" w:eastAsia="en-US" w:bidi="ar-SA"/>
            </w:rPr>
          </w:pPr>
          <w:r>
            <w:rPr>
              <w:rFonts w:ascii="Calibri" w:hAnsi="Calibri"/>
              <w:b/>
              <w:color w:val="943634"/>
            </w:rPr>
            <w:t>CHINA COMMERCIAL SNAPSHOT</w:t>
          </w:r>
          <w:r/>
        </w:p>
      </w:tc>
      <w:tc>
        <w:tcPr>
          <w:tcW w:w="2409" w:type="dxa"/>
          <w:tcBorders>
            <w:left w:val="single" w:sz="18" w:space="0" w:color="4F81BD"/>
            <w:right w:val="single" w:sz="18" w:space="0" w:color="4F81BD"/>
            <w:insideV w:val="single" w:sz="18" w:space="0" w:color="4F81BD"/>
          </w:tcBorders>
          <w:shd w:fill="FFFFFF" w:val="clear"/>
          <w:tcMar>
            <w:left w:w="-22" w:type="dxa"/>
          </w:tcMar>
        </w:tcPr>
        <w:p>
          <w:pPr>
            <w:pStyle w:val="Header"/>
          </w:pPr>
          <w:r>
            <w:rPr>
              <w:rFonts w:ascii="Calibri" w:hAnsi="Calibri"/>
              <w:b/>
              <w:color w:val="4F81BD"/>
            </w:rPr>
            <w:t xml:space="preserve">June </w:t>
          </w:r>
          <w:r>
            <w:rPr>
              <w:rFonts w:ascii="Calibri" w:hAnsi="Calibri"/>
              <w:b/>
              <w:color w:val="4F81BD"/>
            </w:rPr>
            <w:t>7</w:t>
          </w:r>
          <w:r>
            <w:rPr>
              <w:rFonts w:ascii="Calibri" w:hAnsi="Calibri"/>
              <w:b/>
              <w:color w:val="4F81BD"/>
            </w:rPr>
            <w:t xml:space="preserve">– June </w:t>
          </w:r>
          <w:r>
            <w:rPr>
              <w:rFonts w:ascii="Calibri" w:hAnsi="Calibri"/>
              <w:b/>
              <w:color w:val="4F81BD"/>
            </w:rPr>
            <w:t>14</w:t>
          </w:r>
          <w:r>
            <w:rPr>
              <w:rFonts w:ascii="Calibri" w:hAnsi="Calibri"/>
              <w:b/>
              <w:color w:val="4F81BD"/>
            </w:rPr>
            <w:t>, 2016</w:t>
          </w:r>
          <w:r/>
        </w:p>
      </w:tc>
    </w:tr>
    <w:tr>
      <w:trPr/>
      <w:tc>
        <w:tcPr>
          <w:tcW w:w="6329" w:type="dxa"/>
          <w:tcBorders>
            <w:right w:val="single" w:sz="18" w:space="0" w:color="4F81BD"/>
            <w:insideV w:val="single" w:sz="18" w:space="0" w:color="4F81BD"/>
          </w:tcBorders>
          <w:shd w:fill="FFFFFF" w:val="clear"/>
        </w:tcPr>
        <w:p>
          <w:pPr>
            <w:pStyle w:val="Header"/>
          </w:pPr>
          <w:r>
            <w:rPr/>
          </w:r>
          <w:r/>
        </w:p>
      </w:tc>
      <w:tc>
        <w:tcPr>
          <w:tcW w:w="2409" w:type="dxa"/>
          <w:tcBorders>
            <w:left w:val="single" w:sz="18" w:space="0" w:color="4F81BD"/>
            <w:right w:val="single" w:sz="18" w:space="0" w:color="4F81BD"/>
            <w:insideV w:val="single" w:sz="18" w:space="0" w:color="4F81BD"/>
          </w:tcBorders>
          <w:shd w:fill="FFFFFF" w:val="clear"/>
          <w:tcMar>
            <w:left w:w="-22" w:type="dxa"/>
          </w:tcMar>
        </w:tcPr>
        <w:p>
          <w:pPr>
            <w:pStyle w:val="Header"/>
          </w:pPr>
          <w:r>
            <w:rPr/>
          </w:r>
          <w:r/>
        </w:p>
      </w:tc>
    </w:tr>
  </w:tbl>
  <w:p>
    <w:pPr>
      <w:pStyle w:val="Header"/>
    </w:pPr>
    <w:r>
      <w:rPr/>
    </w:r>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151"/>
        </w:tabs>
        <w:ind w:left="151" w:hanging="151"/>
      </w:pPr>
      <w:rPr>
        <w:sz w:val="24"/>
        <w:szCs w:val="24"/>
      </w:rPr>
    </w:lvl>
    <w:lvl w:ilvl="1">
      <w:start w:val="1"/>
      <w:numFmt w:val="lowerRoman"/>
      <w:lvlText w:val="%2)"/>
      <w:lvlJc w:val="left"/>
      <w:pPr>
        <w:tabs>
          <w:tab w:val="num" w:pos="753"/>
        </w:tabs>
        <w:ind w:left="753" w:hanging="393"/>
      </w:pPr>
      <w:rPr>
        <w:sz w:val="24"/>
        <w:szCs w:val="24"/>
      </w:rPr>
    </w:lvl>
    <w:lvl w:ilvl="2">
      <w:start w:val="1"/>
      <w:numFmt w:val="lowerRoman"/>
      <w:lvlText w:val="%3)"/>
      <w:lvlJc w:val="left"/>
      <w:pPr>
        <w:tabs>
          <w:tab w:val="num" w:pos="1113"/>
        </w:tabs>
        <w:ind w:left="1113" w:hanging="393"/>
      </w:pPr>
      <w:rPr>
        <w:sz w:val="24"/>
        <w:szCs w:val="24"/>
      </w:rPr>
    </w:lvl>
    <w:lvl w:ilvl="3">
      <w:start w:val="1"/>
      <w:numFmt w:val="lowerRoman"/>
      <w:lvlText w:val="%4)"/>
      <w:lvlJc w:val="left"/>
      <w:pPr>
        <w:tabs>
          <w:tab w:val="num" w:pos="1473"/>
        </w:tabs>
        <w:ind w:left="1473" w:hanging="393"/>
      </w:pPr>
      <w:rPr>
        <w:sz w:val="24"/>
        <w:szCs w:val="24"/>
      </w:rPr>
    </w:lvl>
    <w:lvl w:ilvl="4">
      <w:start w:val="1"/>
      <w:numFmt w:val="lowerRoman"/>
      <w:lvlText w:val="%5)"/>
      <w:lvlJc w:val="left"/>
      <w:pPr>
        <w:tabs>
          <w:tab w:val="num" w:pos="1833"/>
        </w:tabs>
        <w:ind w:left="1833" w:hanging="393"/>
      </w:pPr>
      <w:rPr>
        <w:sz w:val="24"/>
        <w:szCs w:val="24"/>
      </w:rPr>
    </w:lvl>
    <w:lvl w:ilvl="5">
      <w:start w:val="1"/>
      <w:numFmt w:val="lowerRoman"/>
      <w:lvlText w:val="%6)"/>
      <w:lvlJc w:val="left"/>
      <w:pPr>
        <w:tabs>
          <w:tab w:val="num" w:pos="2193"/>
        </w:tabs>
        <w:ind w:left="2193" w:hanging="393"/>
      </w:pPr>
      <w:rPr>
        <w:sz w:val="24"/>
        <w:szCs w:val="24"/>
      </w:rPr>
    </w:lvl>
    <w:lvl w:ilvl="6">
      <w:start w:val="1"/>
      <w:numFmt w:val="lowerRoman"/>
      <w:lvlText w:val="%7)"/>
      <w:lvlJc w:val="left"/>
      <w:pPr>
        <w:tabs>
          <w:tab w:val="num" w:pos="2553"/>
        </w:tabs>
        <w:ind w:left="2553" w:hanging="393"/>
      </w:pPr>
      <w:rPr>
        <w:sz w:val="24"/>
        <w:szCs w:val="24"/>
      </w:rPr>
    </w:lvl>
    <w:lvl w:ilvl="7">
      <w:start w:val="1"/>
      <w:numFmt w:val="lowerRoman"/>
      <w:lvlText w:val="%8)"/>
      <w:lvlJc w:val="left"/>
      <w:pPr>
        <w:tabs>
          <w:tab w:val="num" w:pos="2913"/>
        </w:tabs>
        <w:ind w:left="2913" w:hanging="393"/>
      </w:pPr>
      <w:rPr>
        <w:sz w:val="24"/>
        <w:szCs w:val="24"/>
      </w:rPr>
    </w:lvl>
    <w:lvl w:ilvl="8">
      <w:start w:val="1"/>
      <w:numFmt w:val="lowerRoman"/>
      <w:lvlText w:val="%9)"/>
      <w:lvlJc w:val="left"/>
      <w:pPr>
        <w:tabs>
          <w:tab w:val="num" w:pos="3273"/>
        </w:tabs>
        <w:ind w:left="3273" w:hanging="393"/>
      </w:pPr>
      <w:rPr>
        <w:sz w:val="24"/>
        <w:szCs w:val="24"/>
      </w:rPr>
    </w:lvl>
  </w:abstractNum>
  <w:abstractNum w:abstractNumId="2">
    <w:lvl w:ilvl="0">
      <w:start w:val="1"/>
      <w:numFmt w:val="bullet"/>
      <w:lvlText w:val=""/>
      <w:lvlJc w:val="left"/>
      <w:pPr>
        <w:ind w:left="481" w:hanging="480"/>
      </w:pPr>
      <w:rPr>
        <w:rFonts w:ascii="Symbol" w:hAnsi="Symbol" w:cs="Symbol" w:hint="default"/>
      </w:rPr>
    </w:lvl>
    <w:lvl w:ilvl="1">
      <w:start w:val="1"/>
      <w:numFmt w:val="bullet"/>
      <w:lvlText w:val=""/>
      <w:lvlJc w:val="left"/>
      <w:pPr>
        <w:ind w:left="961" w:hanging="480"/>
      </w:pPr>
      <w:rPr>
        <w:rFonts w:ascii="Wingdings" w:hAnsi="Wingdings" w:cs="Wingdings" w:hint="default"/>
      </w:rPr>
    </w:lvl>
    <w:lvl w:ilvl="2">
      <w:start w:val="1"/>
      <w:numFmt w:val="bullet"/>
      <w:lvlText w:val=""/>
      <w:lvlJc w:val="left"/>
      <w:pPr>
        <w:ind w:left="1441" w:hanging="480"/>
      </w:pPr>
      <w:rPr>
        <w:rFonts w:ascii="Wingdings" w:hAnsi="Wingdings" w:cs="Wingdings" w:hint="default"/>
      </w:rPr>
    </w:lvl>
    <w:lvl w:ilvl="3">
      <w:start w:val="1"/>
      <w:numFmt w:val="bullet"/>
      <w:lvlText w:val=""/>
      <w:lvlJc w:val="left"/>
      <w:pPr>
        <w:ind w:left="1921" w:hanging="480"/>
      </w:pPr>
      <w:rPr>
        <w:rFonts w:ascii="Wingdings" w:hAnsi="Wingdings" w:cs="Wingdings" w:hint="default"/>
      </w:rPr>
    </w:lvl>
    <w:lvl w:ilvl="4">
      <w:start w:val="1"/>
      <w:numFmt w:val="bullet"/>
      <w:lvlText w:val=""/>
      <w:lvlJc w:val="left"/>
      <w:pPr>
        <w:ind w:left="2401" w:hanging="480"/>
      </w:pPr>
      <w:rPr>
        <w:rFonts w:ascii="Wingdings" w:hAnsi="Wingdings" w:cs="Wingdings" w:hint="default"/>
      </w:rPr>
    </w:lvl>
    <w:lvl w:ilvl="5">
      <w:start w:val="1"/>
      <w:numFmt w:val="bullet"/>
      <w:lvlText w:val=""/>
      <w:lvlJc w:val="left"/>
      <w:pPr>
        <w:ind w:left="2881" w:hanging="480"/>
      </w:pPr>
      <w:rPr>
        <w:rFonts w:ascii="Wingdings" w:hAnsi="Wingdings" w:cs="Wingdings" w:hint="default"/>
      </w:rPr>
    </w:lvl>
    <w:lvl w:ilvl="6">
      <w:start w:val="1"/>
      <w:numFmt w:val="bullet"/>
      <w:lvlText w:val=""/>
      <w:lvlJc w:val="left"/>
      <w:pPr>
        <w:ind w:left="3361" w:hanging="480"/>
      </w:pPr>
      <w:rPr>
        <w:rFonts w:ascii="Wingdings" w:hAnsi="Wingdings" w:cs="Wingdings" w:hint="default"/>
      </w:rPr>
    </w:lvl>
    <w:lvl w:ilvl="7">
      <w:start w:val="1"/>
      <w:numFmt w:val="bullet"/>
      <w:lvlText w:val=""/>
      <w:lvlJc w:val="left"/>
      <w:pPr>
        <w:ind w:left="3841" w:hanging="480"/>
      </w:pPr>
      <w:rPr>
        <w:rFonts w:ascii="Wingdings" w:hAnsi="Wingdings" w:cs="Wingdings" w:hint="default"/>
      </w:rPr>
    </w:lvl>
    <w:lvl w:ilvl="8">
      <w:start w:val="1"/>
      <w:numFmt w:val="bullet"/>
      <w:lvlText w:val=""/>
      <w:lvlJc w:val="left"/>
      <w:pPr>
        <w:ind w:left="4321" w:hanging="48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宋体" w:cs="DejaVu Sans"/>
        <w:sz w:val="20"/>
        <w:szCs w:val="24"/>
        <w:lang w:val="en-US" w:eastAsia="en-US" w:bidi="ar-SA"/>
      </w:rPr>
    </w:rPrDefault>
    <w:pPrDefault>
      <w:pPr/>
    </w:pPrDefault>
  </w:docDefaults>
  <w:style w:type="paragraph" w:styleId="Normal">
    <w:name w:val="Normal"/>
    <w:pPr>
      <w:widowControl/>
      <w:suppressAutoHyphens w:val="true"/>
      <w:overflowPunct w:val="true"/>
      <w:bidi w:val="0"/>
      <w:jc w:val="left"/>
    </w:pPr>
    <w:rPr>
      <w:rFonts w:ascii="Cambria" w:hAnsi="Cambria" w:eastAsia="宋体" w:cs="DejaVu Sans"/>
      <w:color w:val="00000A"/>
      <w:sz w:val="24"/>
      <w:szCs w:val="24"/>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Appleconvertedspace">
    <w:name w:val="apple-converted-space"/>
    <w:basedOn w:val="DefaultParagraphFont"/>
    <w:rPr/>
  </w:style>
  <w:style w:type="character" w:styleId="Style11">
    <w:name w:val="页眉字符"/>
    <w:basedOn w:val="DefaultParagraphFont"/>
    <w:rPr/>
  </w:style>
  <w:style w:type="character" w:styleId="Style12">
    <w:name w:val="页脚字符"/>
    <w:basedOn w:val="DefaultParagraphFont"/>
    <w:rPr/>
  </w:style>
  <w:style w:type="character" w:styleId="Style13">
    <w:name w:val="批注框文本字符"/>
    <w:basedOn w:val="DefaultParagraphFont"/>
    <w:rPr>
      <w:rFonts w:ascii="Lucida Grande" w:hAnsi="Lucida Grande" w:cs="Lucida Grande"/>
      <w:sz w:val="18"/>
      <w:szCs w:val="18"/>
    </w:rPr>
  </w:style>
  <w:style w:type="character" w:styleId="InternetLink">
    <w:name w:val="Internet Link"/>
    <w:basedOn w:val="DefaultParagraphFont"/>
    <w:rPr>
      <w:color w:val="0000FF"/>
      <w:u w:val="single"/>
      <w:lang w:val="zxx" w:eastAsia="zxx" w:bidi="zxx"/>
    </w:rPr>
  </w:style>
  <w:style w:type="character" w:styleId="ListLabel1">
    <w:name w:val="ListLabel 1"/>
    <w:rPr>
      <w:rFonts w:eastAsia="Arial" w:cs="Arial"/>
      <w:sz w:val="24"/>
      <w:szCs w:val="24"/>
    </w:rPr>
  </w:style>
  <w:style w:type="character" w:styleId="ListLabel2">
    <w:name w:val="ListLabel 2"/>
    <w:rPr>
      <w:u w:val="none"/>
    </w:rPr>
  </w:style>
  <w:style w:type="character" w:styleId="ListLabel3">
    <w:name w:val="ListLabel 3"/>
    <w:rPr>
      <w:color w:val="00000A"/>
    </w:rPr>
  </w:style>
  <w:style w:type="character" w:styleId="Bullets">
    <w:name w:val="Bullets"/>
    <w:rPr>
      <w:rFonts w:ascii="OpenSymbol" w:hAnsi="OpenSymbol" w:eastAsia="OpenSymbol" w:cs="OpenSymbol"/>
    </w:rPr>
  </w:style>
  <w:style w:type="character" w:styleId="ListLabel4">
    <w:name w:val="ListLabel 4"/>
    <w:rPr>
      <w:sz w:val="24"/>
      <w:szCs w:val="24"/>
    </w:rPr>
  </w:style>
  <w:style w:type="character" w:styleId="ListLabel5">
    <w:name w:val="ListLabel 5"/>
    <w:rPr>
      <w:u w:val="none"/>
    </w:rPr>
  </w:style>
  <w:style w:type="character" w:styleId="ListLabel6">
    <w:name w:val="ListLabel 6"/>
    <w:rPr>
      <w:rFonts w:cs="Symbol"/>
    </w:rPr>
  </w:style>
  <w:style w:type="character" w:styleId="ListLabel7">
    <w:name w:val="ListLabel 7"/>
    <w:rPr>
      <w:rFonts w:cs="Wingdings"/>
    </w:rPr>
  </w:style>
  <w:style w:type="character" w:styleId="ListLabel8">
    <w:name w:val="ListLabel 8"/>
    <w:rPr>
      <w:sz w:val="24"/>
      <w:szCs w:val="24"/>
    </w:rPr>
  </w:style>
  <w:style w:type="character" w:styleId="ListLabel9">
    <w:name w:val="ListLabel 9"/>
    <w:rPr>
      <w:rFonts w:cs="Symbol"/>
    </w:rPr>
  </w:style>
  <w:style w:type="character" w:styleId="ListLabel10">
    <w:name w:val="ListLabel 10"/>
    <w:rPr>
      <w:rFonts w:cs="Wingdings"/>
    </w:rPr>
  </w:style>
  <w:style w:type="character" w:styleId="ListLabel11">
    <w:name w:val="ListLabel 11"/>
    <w:rPr>
      <w:sz w:val="24"/>
      <w:szCs w:val="24"/>
    </w:rPr>
  </w:style>
  <w:style w:type="character" w:styleId="ListLabel12">
    <w:name w:val="ListLabel 12"/>
    <w:rPr>
      <w:rFonts w:cs="Symbol"/>
    </w:rPr>
  </w:style>
  <w:style w:type="character" w:styleId="ListLabel13">
    <w:name w:val="ListLabel 13"/>
    <w:rPr>
      <w:rFonts w:cs="Wingdings"/>
    </w:rPr>
  </w:style>
  <w:style w:type="character" w:styleId="ListLabel14">
    <w:name w:val="ListLabel 14"/>
    <w:rPr>
      <w:sz w:val="24"/>
      <w:szCs w:val="24"/>
    </w:rPr>
  </w:style>
  <w:style w:type="character" w:styleId="ListLabel15">
    <w:name w:val="ListLabel 15"/>
    <w:rPr>
      <w:rFonts w:cs="Symbol"/>
    </w:rPr>
  </w:style>
  <w:style w:type="character" w:styleId="ListLabel16">
    <w:name w:val="ListLabel 16"/>
    <w:rPr>
      <w:rFonts w:cs="Wingdings"/>
    </w:rPr>
  </w:style>
  <w:style w:type="character" w:styleId="ListLabel17">
    <w:name w:val="ListLabel 17"/>
    <w:rPr>
      <w:sz w:val="24"/>
      <w:szCs w:val="24"/>
    </w:rPr>
  </w:style>
  <w:style w:type="character" w:styleId="ListLabel18">
    <w:name w:val="ListLabel 18"/>
    <w:rPr>
      <w:rFonts w:cs="Symbol"/>
    </w:rPr>
  </w:style>
  <w:style w:type="character" w:styleId="ListLabel19">
    <w:name w:val="ListLabel 19"/>
    <w:rPr>
      <w:rFonts w:cs="Wingdings"/>
    </w:rPr>
  </w:style>
  <w:style w:type="character" w:styleId="ListLabel20">
    <w:name w:val="ListLabel 20"/>
    <w:rPr>
      <w:sz w:val="24"/>
      <w:szCs w:val="24"/>
    </w:rPr>
  </w:style>
  <w:style w:type="character" w:styleId="ListLabel21">
    <w:name w:val="ListLabel 21"/>
    <w:rPr>
      <w:rFonts w:cs="Symbol"/>
    </w:rPr>
  </w:style>
  <w:style w:type="character" w:styleId="ListLabel22">
    <w:name w:val="ListLabel 22"/>
    <w:rPr>
      <w:rFonts w:cs="Wingdings"/>
    </w:rPr>
  </w:style>
  <w:style w:type="character" w:styleId="ListLabel23">
    <w:name w:val="ListLabel 23"/>
    <w:rPr>
      <w:sz w:val="24"/>
      <w:szCs w:val="24"/>
    </w:rPr>
  </w:style>
  <w:style w:type="character" w:styleId="ListLabel24">
    <w:name w:val="ListLabel 24"/>
    <w:rPr>
      <w:rFonts w:cs="Symbol"/>
    </w:rPr>
  </w:style>
  <w:style w:type="character" w:styleId="ListLabel25">
    <w:name w:val="ListLabel 25"/>
    <w:rPr>
      <w:rFonts w:cs="Wingdings"/>
    </w:rPr>
  </w:style>
  <w:style w:type="character" w:styleId="ListLabel26">
    <w:name w:val="ListLabel 26"/>
    <w:rPr>
      <w:sz w:val="24"/>
      <w:szCs w:val="24"/>
    </w:rPr>
  </w:style>
  <w:style w:type="character" w:styleId="ListLabel27">
    <w:name w:val="ListLabel 27"/>
    <w:rPr>
      <w:rFonts w:cs="Symbol"/>
    </w:rPr>
  </w:style>
  <w:style w:type="character" w:styleId="ListLabel28">
    <w:name w:val="ListLabel 28"/>
    <w:rPr>
      <w:rFonts w:cs="Wingdings"/>
    </w:rPr>
  </w:style>
  <w:style w:type="character" w:styleId="Emphasis">
    <w:name w:val="Emphasis"/>
    <w:rPr>
      <w:i/>
      <w:iCs/>
    </w:rPr>
  </w:style>
  <w:style w:type="character" w:styleId="ListLabel29">
    <w:name w:val="ListLabel 29"/>
    <w:rPr>
      <w:sz w:val="24"/>
      <w:szCs w:val="24"/>
    </w:rPr>
  </w:style>
  <w:style w:type="character" w:styleId="ListLabel30">
    <w:name w:val="ListLabel 30"/>
    <w:rPr>
      <w:rFonts w:cs="Symbol"/>
    </w:rPr>
  </w:style>
  <w:style w:type="character" w:styleId="ListLabel31">
    <w:name w:val="ListLabel 31"/>
    <w:rPr>
      <w:rFonts w:cs="Wingdings"/>
    </w:rPr>
  </w:style>
  <w:style w:type="character" w:styleId="ListLabel32">
    <w:name w:val="ListLabel 32"/>
    <w:rPr>
      <w:sz w:val="24"/>
      <w:szCs w:val="24"/>
    </w:rPr>
  </w:style>
  <w:style w:type="character" w:styleId="ListLabel33">
    <w:name w:val="ListLabel 33"/>
    <w:rPr>
      <w:rFonts w:cs="Symbol"/>
    </w:rPr>
  </w:style>
  <w:style w:type="character" w:styleId="ListLabel34">
    <w:name w:val="ListLabel 34"/>
    <w:rPr>
      <w:rFonts w:cs="Wingdings"/>
    </w:rPr>
  </w:style>
  <w:style w:type="character" w:styleId="ListLabel35">
    <w:name w:val="ListLabel 35"/>
    <w:rPr>
      <w:sz w:val="24"/>
      <w:szCs w:val="24"/>
    </w:rPr>
  </w:style>
  <w:style w:type="character" w:styleId="ListLabel36">
    <w:name w:val="ListLabel 36"/>
    <w:rPr>
      <w:rFonts w:cs="Symbol"/>
    </w:rPr>
  </w:style>
  <w:style w:type="character" w:styleId="ListLabel37">
    <w:name w:val="ListLabel 37"/>
    <w:rPr>
      <w:rFonts w:cs="Wingdings"/>
    </w:rPr>
  </w:style>
  <w:style w:type="character" w:styleId="ListLabel38">
    <w:name w:val="ListLabel 38"/>
    <w:rPr>
      <w:sz w:val="24"/>
      <w:szCs w:val="24"/>
    </w:rPr>
  </w:style>
  <w:style w:type="character" w:styleId="ListLabel39">
    <w:name w:val="ListLabel 39"/>
    <w:rPr>
      <w:rFonts w:cs="Symbol"/>
    </w:rPr>
  </w:style>
  <w:style w:type="character" w:styleId="ListLabel40">
    <w:name w:val="ListLabel 40"/>
    <w:rPr>
      <w:rFonts w:cs="Wingdings"/>
    </w:rPr>
  </w:style>
  <w:style w:type="character" w:styleId="ListLabel41">
    <w:name w:val="ListLabel 41"/>
    <w:rPr>
      <w:sz w:val="24"/>
      <w:szCs w:val="24"/>
    </w:rPr>
  </w:style>
  <w:style w:type="character" w:styleId="ListLabel42">
    <w:name w:val="ListLabel 42"/>
    <w:rPr>
      <w:rFonts w:cs="Symbol"/>
    </w:rPr>
  </w:style>
  <w:style w:type="character" w:styleId="ListLabel43">
    <w:name w:val="ListLabel 43"/>
    <w:rPr>
      <w:rFonts w:cs="Wingdings"/>
    </w:rPr>
  </w:style>
  <w:style w:type="character" w:styleId="ListLabel44">
    <w:name w:val="ListLabel 44"/>
    <w:rPr>
      <w:sz w:val="24"/>
      <w:szCs w:val="24"/>
    </w:rPr>
  </w:style>
  <w:style w:type="character" w:styleId="ListLabel45">
    <w:name w:val="ListLabel 45"/>
    <w:rPr>
      <w:rFonts w:cs="Symbol"/>
    </w:rPr>
  </w:style>
  <w:style w:type="character" w:styleId="ListLabel46">
    <w:name w:val="ListLabel 46"/>
    <w:rPr>
      <w:rFonts w:cs="Wingdings"/>
    </w:rPr>
  </w:style>
  <w:style w:type="character" w:styleId="ListLabel47">
    <w:name w:val="ListLabel 47"/>
    <w:rPr>
      <w:sz w:val="24"/>
      <w:szCs w:val="24"/>
    </w:rPr>
  </w:style>
  <w:style w:type="character" w:styleId="ListLabel48">
    <w:name w:val="ListLabel 48"/>
    <w:rPr>
      <w:rFonts w:cs="Symbol"/>
    </w:rPr>
  </w:style>
  <w:style w:type="character" w:styleId="ListLabel49">
    <w:name w:val="ListLabel 49"/>
    <w:rPr>
      <w:rFonts w:cs="Wingdings"/>
    </w:rPr>
  </w:style>
  <w:style w:type="character" w:styleId="ListLabel50">
    <w:name w:val="ListLabel 50"/>
    <w:rPr>
      <w:sz w:val="24"/>
      <w:szCs w:val="24"/>
    </w:rPr>
  </w:style>
  <w:style w:type="character" w:styleId="ListLabel51">
    <w:name w:val="ListLabel 51"/>
    <w:rPr>
      <w:rFonts w:cs="Symbol"/>
    </w:rPr>
  </w:style>
  <w:style w:type="character" w:styleId="ListLabel52">
    <w:name w:val="ListLabel 52"/>
    <w:rPr>
      <w:rFonts w:cs="Wingdings"/>
    </w:rPr>
  </w:style>
  <w:style w:type="character" w:styleId="ListLabel53">
    <w:name w:val="ListLabel 53"/>
    <w:rPr>
      <w:sz w:val="24"/>
      <w:szCs w:val="24"/>
    </w:rPr>
  </w:style>
  <w:style w:type="character" w:styleId="ListLabel54">
    <w:name w:val="ListLabel 54"/>
    <w:rPr>
      <w:rFonts w:cs="Symbol"/>
    </w:rPr>
  </w:style>
  <w:style w:type="character" w:styleId="ListLabel55">
    <w:name w:val="ListLabel 55"/>
    <w:rPr>
      <w:rFonts w:cs="Wingdings"/>
    </w:rPr>
  </w:style>
  <w:style w:type="character" w:styleId="ListLabel56">
    <w:name w:val="ListLabel 56"/>
    <w:rPr>
      <w:sz w:val="24"/>
      <w:szCs w:val="24"/>
    </w:rPr>
  </w:style>
  <w:style w:type="character" w:styleId="ListLabel57">
    <w:name w:val="ListLabel 57"/>
    <w:rPr>
      <w:rFonts w:cs="Symbol"/>
    </w:rPr>
  </w:style>
  <w:style w:type="character" w:styleId="ListLabel58">
    <w:name w:val="ListLabel 58"/>
    <w:rPr>
      <w:rFonts w:cs="Wingdings"/>
    </w:rPr>
  </w:style>
  <w:style w:type="character" w:styleId="ListLabel59">
    <w:name w:val="ListLabel 59"/>
    <w:rPr>
      <w:sz w:val="24"/>
      <w:szCs w:val="24"/>
    </w:rPr>
  </w:style>
  <w:style w:type="character" w:styleId="ListLabel60">
    <w:name w:val="ListLabel 60"/>
    <w:rPr>
      <w:rFonts w:cs="Symbol"/>
    </w:rPr>
  </w:style>
  <w:style w:type="character" w:styleId="ListLabel61">
    <w:name w:val="ListLabel 61"/>
    <w:rPr>
      <w:rFonts w:cs="Wingdings"/>
    </w:rPr>
  </w:style>
  <w:style w:type="character" w:styleId="ListLabel62">
    <w:name w:val="ListLabel 62"/>
    <w:rPr>
      <w:sz w:val="24"/>
      <w:szCs w:val="24"/>
    </w:rPr>
  </w:style>
  <w:style w:type="character" w:styleId="ListLabel63">
    <w:name w:val="ListLabel 63"/>
    <w:rPr>
      <w:rFonts w:cs="Symbol"/>
    </w:rPr>
  </w:style>
  <w:style w:type="character" w:styleId="ListLabel64">
    <w:name w:val="ListLabel 64"/>
    <w:rPr>
      <w:rFonts w:cs="Wingdings"/>
    </w:rPr>
  </w:style>
  <w:style w:type="character" w:styleId="ListLabel65">
    <w:name w:val="ListLabel 65"/>
    <w:rPr>
      <w:sz w:val="24"/>
      <w:szCs w:val="24"/>
    </w:rPr>
  </w:style>
  <w:style w:type="character" w:styleId="ListLabel66">
    <w:name w:val="ListLabel 66"/>
    <w:rPr>
      <w:rFonts w:cs="Symbol"/>
    </w:rPr>
  </w:style>
  <w:style w:type="character" w:styleId="ListLabel67">
    <w:name w:val="ListLabel 67"/>
    <w:rPr>
      <w:rFonts w:cs="Wingdings"/>
    </w:rPr>
  </w:style>
  <w:style w:type="character" w:styleId="ListLabel68">
    <w:name w:val="ListLabel 68"/>
    <w:rPr>
      <w:sz w:val="24"/>
      <w:szCs w:val="24"/>
    </w:rPr>
  </w:style>
  <w:style w:type="character" w:styleId="ListLabel69">
    <w:name w:val="ListLabel 69"/>
    <w:rPr>
      <w:rFonts w:cs="Symbol"/>
    </w:rPr>
  </w:style>
  <w:style w:type="character" w:styleId="ListLabel70">
    <w:name w:val="ListLabel 70"/>
    <w:rPr>
      <w:rFonts w:cs="Wingdings"/>
    </w:rPr>
  </w:style>
  <w:style w:type="character" w:styleId="ListLabel71">
    <w:name w:val="ListLabel 71"/>
    <w:rPr>
      <w:sz w:val="24"/>
      <w:szCs w:val="24"/>
    </w:rPr>
  </w:style>
  <w:style w:type="character" w:styleId="ListLabel72">
    <w:name w:val="ListLabel 72"/>
    <w:rPr>
      <w:rFonts w:cs="Symbol"/>
    </w:rPr>
  </w:style>
  <w:style w:type="character" w:styleId="ListLabel73">
    <w:name w:val="ListLabel 73"/>
    <w:rPr>
      <w:rFonts w:cs="Wingdings"/>
    </w:rPr>
  </w:style>
  <w:style w:type="character" w:styleId="ListLabel74">
    <w:name w:val="ListLabel 74"/>
    <w:rPr>
      <w:sz w:val="24"/>
      <w:szCs w:val="24"/>
    </w:rPr>
  </w:style>
  <w:style w:type="character" w:styleId="ListLabel75">
    <w:name w:val="ListLabel 75"/>
    <w:rPr>
      <w:rFonts w:cs="Symbol"/>
    </w:rPr>
  </w:style>
  <w:style w:type="character" w:styleId="ListLabel76">
    <w:name w:val="ListLabel 76"/>
    <w:rPr>
      <w:rFonts w:cs="Wingdings"/>
    </w:rPr>
  </w:style>
  <w:style w:type="character" w:styleId="ListLabel77">
    <w:name w:val="ListLabel 77"/>
    <w:rPr>
      <w:sz w:val="24"/>
      <w:szCs w:val="24"/>
    </w:rPr>
  </w:style>
  <w:style w:type="character" w:styleId="ListLabel78">
    <w:name w:val="ListLabel 78"/>
    <w:rPr>
      <w:rFonts w:cs="Symbol"/>
    </w:rPr>
  </w:style>
  <w:style w:type="character" w:styleId="ListLabel79">
    <w:name w:val="ListLabel 79"/>
    <w:rPr>
      <w:rFonts w:cs="Wingdings"/>
    </w:rPr>
  </w:style>
  <w:style w:type="character" w:styleId="ListLabel80">
    <w:name w:val="ListLabel 80"/>
    <w:rPr>
      <w:sz w:val="24"/>
      <w:szCs w:val="24"/>
    </w:rPr>
  </w:style>
  <w:style w:type="character" w:styleId="ListLabel81">
    <w:name w:val="ListLabel 81"/>
    <w:rPr>
      <w:rFonts w:cs="Symbol"/>
    </w:rPr>
  </w:style>
  <w:style w:type="character" w:styleId="ListLabel82">
    <w:name w:val="ListLabel 82"/>
    <w:rPr>
      <w:rFonts w:cs="Wingdings"/>
    </w:rPr>
  </w:style>
  <w:style w:type="character" w:styleId="ListLabel83">
    <w:name w:val="ListLabel 83"/>
    <w:rPr>
      <w:sz w:val="24"/>
      <w:szCs w:val="24"/>
    </w:rPr>
  </w:style>
  <w:style w:type="character" w:styleId="ListLabel84">
    <w:name w:val="ListLabel 84"/>
    <w:rPr>
      <w:rFonts w:cs="Symbol"/>
    </w:rPr>
  </w:style>
  <w:style w:type="character" w:styleId="ListLabel85">
    <w:name w:val="ListLabel 85"/>
    <w:rPr>
      <w:rFonts w:cs="Wingdings"/>
    </w:rPr>
  </w:style>
  <w:style w:type="character" w:styleId="ListLabel86">
    <w:name w:val="ListLabel 86"/>
    <w:rPr>
      <w:sz w:val="24"/>
      <w:szCs w:val="24"/>
    </w:rPr>
  </w:style>
  <w:style w:type="character" w:styleId="ListLabel87">
    <w:name w:val="ListLabel 87"/>
    <w:rPr>
      <w:rFonts w:cs="Symbol"/>
    </w:rPr>
  </w:style>
  <w:style w:type="character" w:styleId="ListLabel88">
    <w:name w:val="ListLabel 88"/>
    <w:rPr>
      <w:rFonts w:cs="Wingdings"/>
    </w:rPr>
  </w:style>
  <w:style w:type="character" w:styleId="ListLabel89">
    <w:name w:val="ListLabel 89"/>
    <w:rPr>
      <w:sz w:val="24"/>
      <w:szCs w:val="24"/>
    </w:rPr>
  </w:style>
  <w:style w:type="character" w:styleId="ListLabel90">
    <w:name w:val="ListLabel 90"/>
    <w:rPr>
      <w:rFonts w:cs="Symbol"/>
    </w:rPr>
  </w:style>
  <w:style w:type="character" w:styleId="ListLabel91">
    <w:name w:val="ListLabel 91"/>
    <w:rPr>
      <w:rFonts w:cs="Wingdings"/>
    </w:rPr>
  </w:style>
  <w:style w:type="character" w:styleId="ListLabel92">
    <w:name w:val="ListLabel 92"/>
    <w:rPr>
      <w:sz w:val="24"/>
      <w:szCs w:val="24"/>
    </w:rPr>
  </w:style>
  <w:style w:type="character" w:styleId="ListLabel93">
    <w:name w:val="ListLabel 93"/>
    <w:rPr>
      <w:rFonts w:cs="Symbol"/>
    </w:rPr>
  </w:style>
  <w:style w:type="character" w:styleId="ListLabel94">
    <w:name w:val="ListLabel 9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1">
    <w:name w:val="caption"/>
    <w:basedOn w:val="Normal"/>
    <w:pPr>
      <w:suppressLineNumbers/>
      <w:spacing w:before="120" w:after="120"/>
    </w:pPr>
    <w:rPr>
      <w:rFonts w:cs="FreeSans"/>
      <w:i/>
      <w:iC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pPr/>
    <w:rPr>
      <w:rFonts w:ascii="Lucida Grande" w:hAnsi="Lucida Grande" w:cs="Lucida Grande"/>
      <w:sz w:val="18"/>
      <w:szCs w:val="18"/>
    </w:rPr>
  </w:style>
  <w:style w:type="paragraph" w:styleId="ListParagraph">
    <w:name w:val="List Paragraph"/>
    <w:basedOn w:val="Normal"/>
    <w:pPr>
      <w:spacing w:before="0" w:after="0"/>
      <w:ind w:left="720" w:right="0" w:hanging="0"/>
      <w:contextualSpacing/>
    </w:pPr>
    <w:rPr/>
  </w:style>
  <w:style w:type="paragraph" w:styleId="NormalWeb">
    <w:name w:val="Normal (Web)"/>
    <w:basedOn w:val="Normal"/>
    <w:pPr>
      <w:spacing w:before="280" w:after="280"/>
    </w:pPr>
    <w:rPr>
      <w:rFonts w:ascii="Times" w:hAnsi="Times" w:cs="Times New Roman"/>
      <w:sz w:val="20"/>
      <w:szCs w:val="20"/>
    </w:rPr>
  </w:style>
  <w:style w:type="paragraph" w:styleId="NoSpacing">
    <w:name w:val="No Spacing"/>
    <w:pPr>
      <w:widowControl/>
      <w:suppressAutoHyphens w:val="true"/>
      <w:overflowPunct w:val="true"/>
      <w:bidi w:val="0"/>
      <w:jc w:val="left"/>
    </w:pPr>
    <w:rPr>
      <w:rFonts w:ascii="Cambria" w:hAnsi="Cambria" w:eastAsia="宋体" w:cs="DejaVu Sans"/>
      <w:color w:val="00000A"/>
      <w:sz w:val="22"/>
      <w:szCs w:val="22"/>
      <w:lang w:val="en-US" w:eastAsia="zh-CN" w:bidi="ar-SA"/>
    </w:rPr>
  </w:style>
  <w:style w:type="paragraph" w:styleId="Default">
    <w:name w:val="Default"/>
    <w:pPr>
      <w:widowControl/>
      <w:suppressAutoHyphens w:val="true"/>
      <w:overflowPunct w:val="true"/>
      <w:bidi w:val="0"/>
      <w:jc w:val="left"/>
    </w:pPr>
    <w:rPr>
      <w:rFonts w:ascii="Helvetica" w:hAnsi="Helvetica" w:eastAsia="Helvetica" w:cs="Helvetica"/>
      <w:color w:val="000000"/>
      <w:sz w:val="22"/>
      <w:szCs w:val="22"/>
      <w:lang w:val="en-US" w:eastAsia="zh-CN" w:bidi="ar-SA"/>
    </w:rPr>
  </w:style>
  <w:style w:type="paragraph" w:styleId="TableContents">
    <w:name w:val="Table Contents"/>
    <w:basedOn w:val="Normal"/>
    <w:pPr/>
    <w:rPr/>
  </w:style>
  <w:style w:type="paragraph" w:styleId="TableHeading">
    <w:name w:val="Table Heading"/>
    <w:basedOn w:val="TableContents"/>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name w:val="No List"/>
  </w:style>
  <w:style w:type="numbering" w:styleId="List0">
    <w:name w:val="List 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68282</TotalTime>
  <Application>LibreOffice/4.3.3.2$Linux_X86_64 LibreOffice_project/430m0$Build-2</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2016-04-10T13:17:00Z</dcterms:created>
  <dc:language>en-US</dc:language>
  <dcterms:modified xsi:type="dcterms:W3CDTF">2016-06-15T17:40:13Z</dcterms:modified>
  <cp:revision>129</cp:revision>
  <dc:title>CHINA COMMERCIAL SNAPSHOT</dc:title>
</cp:coreProperties>
</file>